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6" w:type="dxa"/>
        <w:tblInd w:w="279" w:type="dxa"/>
        <w:tblLayout w:type="fixed"/>
        <w:tblLook w:val="04A0" w:firstRow="1" w:lastRow="0" w:firstColumn="1" w:lastColumn="0" w:noHBand="0" w:noVBand="1"/>
      </w:tblPr>
      <w:tblGrid>
        <w:gridCol w:w="2235"/>
        <w:gridCol w:w="2443"/>
        <w:gridCol w:w="5528"/>
        <w:gridCol w:w="4536"/>
        <w:gridCol w:w="1134"/>
      </w:tblGrid>
      <w:tr w:rsidR="004E10B5" w:rsidRPr="00326C32" w:rsidTr="004E10B5">
        <w:trPr>
          <w:trHeight w:hRule="exact" w:val="340"/>
        </w:trPr>
        <w:tc>
          <w:tcPr>
            <w:tcW w:w="15876" w:type="dxa"/>
            <w:gridSpan w:val="5"/>
            <w:shd w:val="clear" w:color="auto" w:fill="CFDCE3"/>
            <w:tcMar>
              <w:top w:w="57" w:type="dxa"/>
              <w:bottom w:w="57" w:type="dxa"/>
            </w:tcMar>
          </w:tcPr>
          <w:p w:rsidR="004E10B5" w:rsidRPr="003D1877" w:rsidRDefault="004E10B5" w:rsidP="004E10B5">
            <w:pPr>
              <w:pStyle w:val="ListParagraph"/>
              <w:numPr>
                <w:ilvl w:val="0"/>
                <w:numId w:val="3"/>
              </w:numPr>
              <w:spacing w:after="0" w:line="240" w:lineRule="auto"/>
              <w:ind w:left="426" w:hanging="284"/>
              <w:contextualSpacing w:val="0"/>
              <w:rPr>
                <w:rFonts w:cs="Arial"/>
                <w:b/>
              </w:rPr>
            </w:pPr>
            <w:r w:rsidRPr="003D1877">
              <w:rPr>
                <w:rFonts w:cs="Arial"/>
                <w:b/>
              </w:rPr>
              <w:t xml:space="preserve">Review of expenditure </w:t>
            </w:r>
          </w:p>
        </w:tc>
      </w:tr>
      <w:tr w:rsidR="004E10B5" w:rsidRPr="00326C32" w:rsidTr="004E10B5">
        <w:trPr>
          <w:trHeight w:hRule="exact" w:val="340"/>
        </w:trPr>
        <w:tc>
          <w:tcPr>
            <w:tcW w:w="4678" w:type="dxa"/>
            <w:gridSpan w:val="2"/>
            <w:shd w:val="clear" w:color="auto" w:fill="auto"/>
            <w:tcMar>
              <w:top w:w="57" w:type="dxa"/>
              <w:bottom w:w="57" w:type="dxa"/>
            </w:tcMar>
          </w:tcPr>
          <w:p w:rsidR="004E10B5" w:rsidRPr="003D1877" w:rsidRDefault="004E10B5" w:rsidP="00AC76D0">
            <w:pPr>
              <w:rPr>
                <w:rFonts w:cs="Arial"/>
                <w:b/>
              </w:rPr>
            </w:pPr>
            <w:r w:rsidRPr="003D1877">
              <w:rPr>
                <w:rFonts w:cs="Arial"/>
                <w:b/>
              </w:rPr>
              <w:t>Previous Academic Year</w:t>
            </w:r>
          </w:p>
        </w:tc>
        <w:tc>
          <w:tcPr>
            <w:tcW w:w="11198" w:type="dxa"/>
            <w:gridSpan w:val="3"/>
            <w:shd w:val="clear" w:color="auto" w:fill="auto"/>
          </w:tcPr>
          <w:p w:rsidR="004E10B5" w:rsidRPr="003D1877" w:rsidRDefault="004E10B5" w:rsidP="00AC76D0">
            <w:pPr>
              <w:pStyle w:val="ListParagraph"/>
              <w:numPr>
                <w:ilvl w:val="0"/>
                <w:numId w:val="0"/>
              </w:numPr>
              <w:ind w:left="567"/>
              <w:rPr>
                <w:rFonts w:cs="Arial"/>
                <w:b/>
              </w:rPr>
            </w:pPr>
            <w:r w:rsidRPr="003D1877">
              <w:rPr>
                <w:rFonts w:cs="Arial"/>
                <w:b/>
              </w:rPr>
              <w:t>2016-2017</w:t>
            </w:r>
          </w:p>
        </w:tc>
      </w:tr>
      <w:tr w:rsidR="004E10B5" w:rsidRPr="00326C32" w:rsidTr="004E10B5">
        <w:trPr>
          <w:trHeight w:hRule="exact" w:val="340"/>
        </w:trPr>
        <w:tc>
          <w:tcPr>
            <w:tcW w:w="15876" w:type="dxa"/>
            <w:gridSpan w:val="5"/>
            <w:shd w:val="clear" w:color="auto" w:fill="FFFFFF" w:themeFill="background1"/>
            <w:tcMar>
              <w:top w:w="57" w:type="dxa"/>
              <w:bottom w:w="57" w:type="dxa"/>
            </w:tcMar>
          </w:tcPr>
          <w:p w:rsidR="004E10B5" w:rsidRPr="003D1877" w:rsidRDefault="004E10B5" w:rsidP="004E10B5">
            <w:pPr>
              <w:pStyle w:val="ListParagraph"/>
              <w:numPr>
                <w:ilvl w:val="0"/>
                <w:numId w:val="2"/>
              </w:numPr>
              <w:spacing w:after="0" w:line="240" w:lineRule="auto"/>
              <w:ind w:left="426" w:hanging="142"/>
              <w:contextualSpacing w:val="0"/>
              <w:rPr>
                <w:rFonts w:cs="Arial"/>
                <w:b/>
              </w:rPr>
            </w:pPr>
            <w:r w:rsidRPr="003D1877">
              <w:rPr>
                <w:rFonts w:cs="Arial"/>
                <w:b/>
              </w:rPr>
              <w:t>Quality of teaching for all</w:t>
            </w:r>
          </w:p>
        </w:tc>
      </w:tr>
      <w:tr w:rsidR="004E10B5" w:rsidRPr="00326C32" w:rsidTr="004E10B5">
        <w:trPr>
          <w:trHeight w:hRule="exact" w:val="1173"/>
        </w:trPr>
        <w:tc>
          <w:tcPr>
            <w:tcW w:w="2235" w:type="dxa"/>
            <w:tcMar>
              <w:top w:w="57" w:type="dxa"/>
              <w:bottom w:w="57" w:type="dxa"/>
            </w:tcMar>
          </w:tcPr>
          <w:p w:rsidR="004E10B5" w:rsidRPr="003D1877" w:rsidRDefault="004E10B5" w:rsidP="00AC76D0">
            <w:pPr>
              <w:rPr>
                <w:rFonts w:cs="Arial"/>
                <w:b/>
              </w:rPr>
            </w:pPr>
            <w:r w:rsidRPr="003D1877">
              <w:rPr>
                <w:rFonts w:cs="Arial"/>
                <w:b/>
              </w:rPr>
              <w:t>Desired outcome</w:t>
            </w:r>
          </w:p>
        </w:tc>
        <w:tc>
          <w:tcPr>
            <w:tcW w:w="2443" w:type="dxa"/>
            <w:tcMar>
              <w:top w:w="57" w:type="dxa"/>
              <w:bottom w:w="57" w:type="dxa"/>
            </w:tcMar>
          </w:tcPr>
          <w:p w:rsidR="004E10B5" w:rsidRPr="003D1877" w:rsidRDefault="004E10B5" w:rsidP="00AC76D0">
            <w:pPr>
              <w:rPr>
                <w:rFonts w:cs="Arial"/>
                <w:b/>
              </w:rPr>
            </w:pPr>
            <w:r w:rsidRPr="003D1877">
              <w:rPr>
                <w:rFonts w:cs="Arial"/>
                <w:b/>
              </w:rPr>
              <w:t>Chosen action / approach</w:t>
            </w:r>
          </w:p>
        </w:tc>
        <w:tc>
          <w:tcPr>
            <w:tcW w:w="5528" w:type="dxa"/>
            <w:tcMar>
              <w:top w:w="57" w:type="dxa"/>
              <w:bottom w:w="57" w:type="dxa"/>
            </w:tcMar>
          </w:tcPr>
          <w:p w:rsidR="004E10B5" w:rsidRDefault="004E10B5" w:rsidP="00AC76D0">
            <w:pPr>
              <w:rPr>
                <w:rFonts w:cs="Arial"/>
              </w:rPr>
            </w:pPr>
            <w:r w:rsidRPr="003D1877">
              <w:rPr>
                <w:rFonts w:cs="Arial"/>
                <w:b/>
              </w:rPr>
              <w:t xml:space="preserve">Impact: </w:t>
            </w:r>
            <w:r w:rsidRPr="003D1877">
              <w:rPr>
                <w:rFonts w:cs="Arial"/>
              </w:rPr>
              <w:t>Did you meet the success criteria? Include impact on pupils not eligible for PP, if appropriate.</w:t>
            </w: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bookmarkStart w:id="0" w:name="_GoBack"/>
            <w:bookmarkEnd w:id="0"/>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Default="004E10B5" w:rsidP="00AC76D0">
            <w:pPr>
              <w:rPr>
                <w:rFonts w:cs="Arial"/>
              </w:rPr>
            </w:pPr>
          </w:p>
          <w:p w:rsidR="004E10B5" w:rsidRPr="003D1877" w:rsidRDefault="004E10B5" w:rsidP="00AC76D0">
            <w:pPr>
              <w:rPr>
                <w:rFonts w:cs="Arial"/>
              </w:rPr>
            </w:pPr>
          </w:p>
        </w:tc>
        <w:tc>
          <w:tcPr>
            <w:tcW w:w="4536" w:type="dxa"/>
            <w:tcMar>
              <w:top w:w="57" w:type="dxa"/>
              <w:bottom w:w="57" w:type="dxa"/>
            </w:tcMar>
          </w:tcPr>
          <w:p w:rsidR="004E10B5" w:rsidRPr="003D1877" w:rsidRDefault="004E10B5" w:rsidP="00AC76D0">
            <w:pPr>
              <w:spacing w:after="0"/>
              <w:rPr>
                <w:rFonts w:cs="Arial"/>
                <w:b/>
              </w:rPr>
            </w:pPr>
            <w:r w:rsidRPr="003D1877">
              <w:rPr>
                <w:rFonts w:cs="Arial"/>
                <w:b/>
              </w:rPr>
              <w:t xml:space="preserve">Lessons learned </w:t>
            </w:r>
          </w:p>
          <w:p w:rsidR="004E10B5" w:rsidRPr="003D1877" w:rsidRDefault="004E10B5" w:rsidP="00AC76D0">
            <w:pPr>
              <w:rPr>
                <w:rFonts w:cs="Arial"/>
                <w:b/>
              </w:rPr>
            </w:pPr>
            <w:r w:rsidRPr="003D1877">
              <w:rPr>
                <w:rFonts w:cs="Arial"/>
              </w:rPr>
              <w:t>(and whether you will continue with this approach)</w:t>
            </w:r>
          </w:p>
        </w:tc>
        <w:tc>
          <w:tcPr>
            <w:tcW w:w="1134" w:type="dxa"/>
          </w:tcPr>
          <w:p w:rsidR="004E10B5" w:rsidRPr="003D1877" w:rsidRDefault="004E10B5" w:rsidP="00AC76D0">
            <w:pPr>
              <w:rPr>
                <w:rFonts w:cs="Arial"/>
                <w:b/>
              </w:rPr>
            </w:pPr>
            <w:r w:rsidRPr="003D1877">
              <w:rPr>
                <w:rFonts w:cs="Arial"/>
                <w:b/>
              </w:rPr>
              <w:t>Cost</w:t>
            </w:r>
          </w:p>
        </w:tc>
      </w:tr>
      <w:tr w:rsidR="004E10B5" w:rsidRPr="00326C32" w:rsidTr="004E10B5">
        <w:trPr>
          <w:trHeight w:hRule="exact" w:val="6586"/>
        </w:trPr>
        <w:tc>
          <w:tcPr>
            <w:tcW w:w="2235" w:type="dxa"/>
            <w:vMerge w:val="restart"/>
            <w:tcMar>
              <w:top w:w="57" w:type="dxa"/>
              <w:bottom w:w="57" w:type="dxa"/>
            </w:tcMar>
          </w:tcPr>
          <w:p w:rsidR="004E10B5" w:rsidRPr="0085391B" w:rsidRDefault="004E10B5" w:rsidP="00AC76D0">
            <w:pPr>
              <w:spacing w:after="0"/>
              <w:rPr>
                <w:rFonts w:asciiTheme="minorHAnsi" w:hAnsiTheme="minorHAnsi" w:cstheme="minorHAnsi"/>
                <w:color w:val="000000" w:themeColor="text1"/>
              </w:rPr>
            </w:pPr>
            <w:r w:rsidRPr="0085391B">
              <w:rPr>
                <w:rFonts w:asciiTheme="minorHAnsi" w:hAnsiTheme="minorHAnsi" w:cstheme="minorHAnsi"/>
                <w:color w:val="000000" w:themeColor="text1"/>
              </w:rPr>
              <w:lastRenderedPageBreak/>
              <w:t xml:space="preserve">A. School continues to meet the needs of children who are both SEN and Pupil Premium , </w:t>
            </w:r>
          </w:p>
          <w:p w:rsidR="004E10B5" w:rsidRPr="0085391B" w:rsidRDefault="004E10B5" w:rsidP="00AC76D0">
            <w:pPr>
              <w:spacing w:after="0"/>
              <w:rPr>
                <w:rFonts w:asciiTheme="minorHAnsi" w:hAnsiTheme="minorHAnsi" w:cstheme="minorHAnsi"/>
                <w:color w:val="000000" w:themeColor="text1"/>
              </w:rPr>
            </w:pPr>
            <w:r w:rsidRPr="0085391B">
              <w:rPr>
                <w:rFonts w:asciiTheme="minorHAnsi" w:hAnsiTheme="minorHAnsi" w:cstheme="minorHAnsi"/>
                <w:color w:val="000000" w:themeColor="text1"/>
              </w:rPr>
              <w:t xml:space="preserve"> </w:t>
            </w:r>
          </w:p>
          <w:p w:rsidR="004E10B5" w:rsidRPr="0085391B" w:rsidRDefault="004E10B5" w:rsidP="00AC76D0">
            <w:pPr>
              <w:spacing w:after="0"/>
              <w:rPr>
                <w:rFonts w:asciiTheme="minorHAnsi" w:hAnsiTheme="minorHAnsi" w:cstheme="minorHAnsi"/>
                <w:color w:val="000000" w:themeColor="text1"/>
              </w:rPr>
            </w:pPr>
            <w:r w:rsidRPr="0085391B">
              <w:rPr>
                <w:rFonts w:asciiTheme="minorHAnsi" w:hAnsiTheme="minorHAnsi" w:cstheme="minorHAnsi"/>
                <w:color w:val="000000" w:themeColor="text1"/>
              </w:rPr>
              <w:t xml:space="preserve">E. Pupil Premium children will achieve in-line with non-pupil children taking account of their individual circumstances,  </w:t>
            </w:r>
          </w:p>
          <w:p w:rsidR="004E10B5" w:rsidRPr="0085391B" w:rsidRDefault="004E10B5" w:rsidP="00AC76D0">
            <w:pPr>
              <w:spacing w:after="0"/>
              <w:rPr>
                <w:rFonts w:asciiTheme="minorHAnsi" w:hAnsiTheme="minorHAnsi" w:cstheme="minorHAnsi"/>
                <w:color w:val="000000" w:themeColor="text1"/>
              </w:rPr>
            </w:pPr>
            <w:proofErr w:type="gramStart"/>
            <w:r w:rsidRPr="0085391B">
              <w:rPr>
                <w:rFonts w:asciiTheme="minorHAnsi" w:hAnsiTheme="minorHAnsi" w:cstheme="minorHAnsi"/>
                <w:color w:val="000000" w:themeColor="text1"/>
              </w:rPr>
              <w:t>with</w:t>
            </w:r>
            <w:proofErr w:type="gramEnd"/>
            <w:r w:rsidRPr="0085391B">
              <w:rPr>
                <w:rFonts w:asciiTheme="minorHAnsi" w:hAnsiTheme="minorHAnsi" w:cstheme="minorHAnsi"/>
                <w:color w:val="000000" w:themeColor="text1"/>
              </w:rPr>
              <w:t xml:space="preserve"> an aim to reducing the attainment gap.</w:t>
            </w:r>
          </w:p>
          <w:p w:rsidR="004E10B5" w:rsidRPr="0085391B" w:rsidRDefault="004E10B5" w:rsidP="00AC76D0">
            <w:pPr>
              <w:rPr>
                <w:rFonts w:asciiTheme="minorHAnsi" w:hAnsiTheme="minorHAnsi" w:cstheme="minorHAnsi"/>
              </w:rPr>
            </w:pPr>
          </w:p>
        </w:tc>
        <w:tc>
          <w:tcPr>
            <w:tcW w:w="2443" w:type="dxa"/>
            <w:tcMar>
              <w:top w:w="57" w:type="dxa"/>
              <w:bottom w:w="57" w:type="dxa"/>
            </w:tcMar>
          </w:tcPr>
          <w:p w:rsidR="004E10B5" w:rsidRPr="0085391B" w:rsidRDefault="004E10B5" w:rsidP="00AC76D0">
            <w:pPr>
              <w:spacing w:after="0"/>
              <w:rPr>
                <w:rFonts w:asciiTheme="minorHAnsi" w:hAnsiTheme="minorHAnsi" w:cstheme="minorHAnsi"/>
                <w:color w:val="000000" w:themeColor="text1"/>
              </w:rPr>
            </w:pPr>
            <w:r w:rsidRPr="0085391B">
              <w:rPr>
                <w:rFonts w:asciiTheme="minorHAnsi" w:hAnsiTheme="minorHAnsi" w:cstheme="minorHAnsi"/>
                <w:color w:val="000000" w:themeColor="text1"/>
              </w:rPr>
              <w:t xml:space="preserve">Additional Year 6 teachers to plan and deliver </w:t>
            </w:r>
            <w:proofErr w:type="gramStart"/>
            <w:r w:rsidRPr="0085391B">
              <w:rPr>
                <w:rFonts w:asciiTheme="minorHAnsi" w:hAnsiTheme="minorHAnsi" w:cstheme="minorHAnsi"/>
                <w:color w:val="000000" w:themeColor="text1"/>
              </w:rPr>
              <w:t>booster teaching</w:t>
            </w:r>
            <w:proofErr w:type="gramEnd"/>
            <w:r w:rsidRPr="0085391B">
              <w:rPr>
                <w:rFonts w:asciiTheme="minorHAnsi" w:hAnsiTheme="minorHAnsi" w:cstheme="minorHAnsi"/>
                <w:color w:val="000000" w:themeColor="text1"/>
              </w:rPr>
              <w:t xml:space="preserve"> groups in Year 6 across the ability range.  This includes children of all abilities including those working at Greater Depth. </w:t>
            </w:r>
          </w:p>
          <w:p w:rsidR="004E10B5" w:rsidRPr="0085391B" w:rsidRDefault="004E10B5" w:rsidP="00AC76D0">
            <w:pPr>
              <w:spacing w:after="0"/>
              <w:rPr>
                <w:rFonts w:asciiTheme="minorHAnsi" w:hAnsiTheme="minorHAnsi" w:cstheme="minorHAnsi"/>
                <w:color w:val="000000" w:themeColor="text1"/>
              </w:rPr>
            </w:pPr>
          </w:p>
          <w:p w:rsidR="004E10B5" w:rsidRPr="0085391B" w:rsidRDefault="004E10B5" w:rsidP="00AC76D0">
            <w:pPr>
              <w:spacing w:after="0"/>
              <w:rPr>
                <w:rFonts w:asciiTheme="minorHAnsi" w:eastAsia="Calibri" w:hAnsiTheme="minorHAnsi" w:cstheme="minorHAnsi"/>
                <w:color w:val="auto"/>
              </w:rPr>
            </w:pPr>
            <w:r w:rsidRPr="0085391B">
              <w:rPr>
                <w:rFonts w:asciiTheme="minorHAnsi" w:eastAsia="Calibri" w:hAnsiTheme="minorHAnsi" w:cstheme="minorHAnsi"/>
                <w:color w:val="auto"/>
              </w:rPr>
              <w:t>1:1 Year 6 personalised learning programmes with a Reading, Writing, SPAG and Mathematics Focus.</w:t>
            </w:r>
          </w:p>
          <w:p w:rsidR="004E10B5" w:rsidRPr="0085391B" w:rsidRDefault="004E10B5" w:rsidP="00AC76D0">
            <w:pPr>
              <w:spacing w:after="0"/>
              <w:rPr>
                <w:rFonts w:asciiTheme="minorHAnsi" w:hAnsiTheme="minorHAnsi" w:cstheme="minorHAnsi"/>
                <w:color w:val="000000" w:themeColor="text1"/>
              </w:rPr>
            </w:pPr>
          </w:p>
          <w:p w:rsidR="004E10B5" w:rsidRPr="0085391B" w:rsidRDefault="004E10B5" w:rsidP="00AC76D0">
            <w:pPr>
              <w:rPr>
                <w:rFonts w:asciiTheme="minorHAnsi" w:hAnsiTheme="minorHAnsi" w:cstheme="minorHAnsi"/>
              </w:rPr>
            </w:pPr>
          </w:p>
        </w:tc>
        <w:tc>
          <w:tcPr>
            <w:tcW w:w="10064" w:type="dxa"/>
            <w:gridSpan w:val="2"/>
            <w:tcMar>
              <w:top w:w="57" w:type="dxa"/>
              <w:bottom w:w="57" w:type="dxa"/>
            </w:tcMar>
          </w:tcPr>
          <w:tbl>
            <w:tblPr>
              <w:tblpPr w:leftFromText="180" w:rightFromText="180" w:horzAnchor="margin" w:tblpY="452"/>
              <w:tblOverlap w:val="never"/>
              <w:tblW w:w="100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9"/>
              <w:gridCol w:w="1454"/>
              <w:gridCol w:w="1523"/>
              <w:gridCol w:w="1985"/>
              <w:gridCol w:w="1275"/>
              <w:gridCol w:w="1276"/>
              <w:gridCol w:w="1377"/>
            </w:tblGrid>
            <w:tr w:rsidR="004E10B5" w:rsidRPr="0085391B" w:rsidTr="00AC76D0">
              <w:trPr>
                <w:trHeight w:val="986"/>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E10B5" w:rsidRPr="0085391B" w:rsidRDefault="004E10B5" w:rsidP="00AC76D0">
                  <w:pPr>
                    <w:spacing w:before="100" w:beforeAutospacing="1"/>
                    <w:rPr>
                      <w:rFonts w:asciiTheme="minorHAnsi" w:hAnsiTheme="minorHAnsi" w:cstheme="minorHAnsi"/>
                      <w:color w:val="auto"/>
                    </w:rPr>
                  </w:pPr>
                  <w:r w:rsidRPr="0085391B">
                    <w:rPr>
                      <w:rFonts w:asciiTheme="minorHAnsi" w:hAnsiTheme="minorHAnsi" w:cstheme="minorHAnsi"/>
                    </w:rPr>
                    <w:t> </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jc w:val="center"/>
                    <w:rPr>
                      <w:rFonts w:cstheme="minorHAnsi"/>
                      <w:szCs w:val="24"/>
                    </w:rPr>
                  </w:pPr>
                  <w:r w:rsidRPr="0085391B">
                    <w:rPr>
                      <w:rFonts w:cstheme="minorHAnsi"/>
                      <w:szCs w:val="24"/>
                    </w:rPr>
                    <w:t>Disadvantage</w:t>
                  </w:r>
                </w:p>
                <w:p w:rsidR="004E10B5" w:rsidRPr="0085391B" w:rsidRDefault="004E10B5" w:rsidP="00AC76D0">
                  <w:pPr>
                    <w:pStyle w:val="NoSpacing"/>
                    <w:jc w:val="center"/>
                    <w:rPr>
                      <w:rFonts w:cstheme="minorHAnsi"/>
                      <w:szCs w:val="24"/>
                    </w:rPr>
                  </w:pPr>
                  <w:r w:rsidRPr="0085391B">
                    <w:rPr>
                      <w:rFonts w:cstheme="minorHAnsi"/>
                      <w:szCs w:val="24"/>
                    </w:rPr>
                    <w:t>School 2015/2016</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jc w:val="center"/>
                    <w:rPr>
                      <w:rFonts w:cstheme="minorHAnsi"/>
                      <w:szCs w:val="24"/>
                    </w:rPr>
                  </w:pPr>
                  <w:r w:rsidRPr="0085391B">
                    <w:rPr>
                      <w:rFonts w:cstheme="minorHAnsi"/>
                      <w:szCs w:val="24"/>
                    </w:rPr>
                    <w:t>Disadvantage</w:t>
                  </w:r>
                </w:p>
                <w:p w:rsidR="004E10B5" w:rsidRPr="0085391B" w:rsidRDefault="004E10B5" w:rsidP="00AC76D0">
                  <w:pPr>
                    <w:pStyle w:val="NoSpacing"/>
                    <w:jc w:val="center"/>
                    <w:rPr>
                      <w:rFonts w:cstheme="minorHAnsi"/>
                      <w:szCs w:val="24"/>
                    </w:rPr>
                  </w:pPr>
                  <w:r w:rsidRPr="0085391B">
                    <w:rPr>
                      <w:rFonts w:cstheme="minorHAnsi"/>
                      <w:szCs w:val="24"/>
                    </w:rPr>
                    <w:t>School 2016/2017</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jc w:val="center"/>
                    <w:rPr>
                      <w:rFonts w:cstheme="minorHAnsi"/>
                      <w:szCs w:val="24"/>
                    </w:rPr>
                  </w:pPr>
                  <w:r w:rsidRPr="0085391B">
                    <w:rPr>
                      <w:rFonts w:cstheme="minorHAnsi"/>
                      <w:szCs w:val="24"/>
                    </w:rPr>
                    <w:t>National</w:t>
                  </w:r>
                </w:p>
                <w:p w:rsidR="004E10B5" w:rsidRPr="0085391B" w:rsidRDefault="004E10B5" w:rsidP="00AC76D0">
                  <w:pPr>
                    <w:pStyle w:val="NoSpacing"/>
                    <w:jc w:val="center"/>
                    <w:rPr>
                      <w:rFonts w:cstheme="minorHAnsi"/>
                      <w:szCs w:val="24"/>
                    </w:rPr>
                  </w:pPr>
                  <w:r w:rsidRPr="0085391B">
                    <w:rPr>
                      <w:rFonts w:cstheme="minorHAnsi"/>
                      <w:szCs w:val="24"/>
                    </w:rPr>
                    <w:t>Non-Disadvantaged</w:t>
                  </w:r>
                </w:p>
                <w:p w:rsidR="004E10B5" w:rsidRPr="0085391B" w:rsidRDefault="004E10B5" w:rsidP="00AC76D0">
                  <w:pPr>
                    <w:pStyle w:val="NoSpacing"/>
                    <w:jc w:val="center"/>
                    <w:rPr>
                      <w:rFonts w:cstheme="minorHAnsi"/>
                      <w:szCs w:val="24"/>
                    </w:rPr>
                  </w:pPr>
                  <w:r w:rsidRPr="0085391B">
                    <w:rPr>
                      <w:rFonts w:cstheme="minorHAnsi"/>
                      <w:szCs w:val="24"/>
                    </w:rPr>
                    <w:t>2015/2016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jc w:val="center"/>
                    <w:rPr>
                      <w:rFonts w:cstheme="minorHAnsi"/>
                      <w:szCs w:val="24"/>
                    </w:rPr>
                  </w:pPr>
                  <w:r w:rsidRPr="0085391B">
                    <w:rPr>
                      <w:rFonts w:cstheme="minorHAnsi"/>
                      <w:szCs w:val="24"/>
                    </w:rPr>
                    <w:t>Gap</w:t>
                  </w:r>
                </w:p>
                <w:p w:rsidR="004E10B5" w:rsidRPr="0085391B" w:rsidRDefault="004E10B5" w:rsidP="00AC76D0">
                  <w:pPr>
                    <w:pStyle w:val="NoSpacing"/>
                    <w:jc w:val="center"/>
                    <w:rPr>
                      <w:rFonts w:cstheme="minorHAnsi"/>
                      <w:szCs w:val="24"/>
                    </w:rPr>
                  </w:pPr>
                  <w:r w:rsidRPr="0085391B">
                    <w:rPr>
                      <w:rFonts w:cstheme="minorHAnsi"/>
                      <w:szCs w:val="24"/>
                    </w:rPr>
                    <w:t>2015/2016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jc w:val="center"/>
                    <w:rPr>
                      <w:rFonts w:cstheme="minorHAnsi"/>
                      <w:szCs w:val="24"/>
                    </w:rPr>
                  </w:pPr>
                  <w:r w:rsidRPr="0085391B">
                    <w:rPr>
                      <w:rFonts w:cstheme="minorHAnsi"/>
                      <w:szCs w:val="24"/>
                    </w:rPr>
                    <w:t>Gap</w:t>
                  </w:r>
                </w:p>
                <w:p w:rsidR="004E10B5" w:rsidRPr="0085391B" w:rsidRDefault="004E10B5" w:rsidP="00AC76D0">
                  <w:pPr>
                    <w:pStyle w:val="NoSpacing"/>
                    <w:jc w:val="center"/>
                    <w:rPr>
                      <w:rFonts w:cstheme="minorHAnsi"/>
                      <w:szCs w:val="24"/>
                    </w:rPr>
                  </w:pPr>
                  <w:r w:rsidRPr="0085391B">
                    <w:rPr>
                      <w:rFonts w:cstheme="minorHAnsi"/>
                      <w:szCs w:val="24"/>
                    </w:rPr>
                    <w:t>2016/2017</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rPr>
                      <w:rFonts w:cstheme="minorHAnsi"/>
                      <w:szCs w:val="24"/>
                    </w:rPr>
                  </w:pPr>
                  <w:r w:rsidRPr="0085391B">
                    <w:rPr>
                      <w:rFonts w:cstheme="minorHAnsi"/>
                      <w:szCs w:val="24"/>
                    </w:rPr>
                    <w:t>Gap reduced by</w:t>
                  </w:r>
                </w:p>
              </w:tc>
            </w:tr>
            <w:tr w:rsidR="004E10B5" w:rsidRPr="0085391B" w:rsidTr="00AC76D0">
              <w:trPr>
                <w:trHeight w:val="87"/>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Reading</w:t>
                  </w:r>
                </w:p>
              </w:tc>
              <w:tc>
                <w:tcPr>
                  <w:tcW w:w="1454"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-4.1</w:t>
                  </w:r>
                </w:p>
              </w:tc>
              <w:tc>
                <w:tcPr>
                  <w:tcW w:w="1523"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-3.74</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+0.66</w:t>
                  </w:r>
                </w:p>
              </w:tc>
            </w:tr>
            <w:tr w:rsidR="004E10B5" w:rsidRPr="0085391B" w:rsidTr="00AC76D0">
              <w:trPr>
                <w:trHeight w:val="82"/>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Writing</w:t>
                  </w:r>
                </w:p>
              </w:tc>
              <w:tc>
                <w:tcPr>
                  <w:tcW w:w="1454"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-1.9</w:t>
                  </w:r>
                </w:p>
              </w:tc>
              <w:tc>
                <w:tcPr>
                  <w:tcW w:w="1523"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+3.21</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+5.21</w:t>
                  </w:r>
                </w:p>
              </w:tc>
            </w:tr>
            <w:tr w:rsidR="004E10B5" w:rsidRPr="0085391B" w:rsidTr="00AC76D0">
              <w:trPr>
                <w:trHeight w:val="87"/>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Maths</w:t>
                  </w:r>
                </w:p>
              </w:tc>
              <w:tc>
                <w:tcPr>
                  <w:tcW w:w="1454"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-3.9</w:t>
                  </w:r>
                </w:p>
              </w:tc>
              <w:tc>
                <w:tcPr>
                  <w:tcW w:w="1523"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jc w:val="center"/>
                    <w:rPr>
                      <w:rFonts w:cstheme="minorHAnsi"/>
                      <w:sz w:val="24"/>
                      <w:szCs w:val="24"/>
                    </w:rPr>
                  </w:pPr>
                  <w:r w:rsidRPr="0085391B">
                    <w:rPr>
                      <w:rFonts w:cstheme="minorHAnsi"/>
                      <w:sz w:val="24"/>
                      <w:szCs w:val="24"/>
                    </w:rPr>
                    <w:t>-3.9</w:t>
                  </w:r>
                </w:p>
              </w:tc>
              <w:tc>
                <w:tcPr>
                  <w:tcW w:w="1377" w:type="dxa"/>
                  <w:tcBorders>
                    <w:top w:val="single" w:sz="4" w:space="0" w:color="auto"/>
                    <w:left w:val="single" w:sz="4" w:space="0" w:color="auto"/>
                    <w:bottom w:val="single" w:sz="4" w:space="0" w:color="auto"/>
                    <w:right w:val="single" w:sz="4" w:space="0" w:color="auto"/>
                  </w:tcBorders>
                  <w:vAlign w:val="center"/>
                  <w:hideMark/>
                </w:tcPr>
                <w:p w:rsidR="004E10B5" w:rsidRPr="0085391B" w:rsidRDefault="004E10B5" w:rsidP="00AC76D0">
                  <w:pPr>
                    <w:pStyle w:val="NoSpacing"/>
                    <w:rPr>
                      <w:rFonts w:cstheme="minorHAnsi"/>
                      <w:sz w:val="24"/>
                      <w:szCs w:val="24"/>
                    </w:rPr>
                  </w:pPr>
                  <w:r w:rsidRPr="0085391B">
                    <w:rPr>
                      <w:rFonts w:cstheme="minorHAnsi"/>
                      <w:sz w:val="24"/>
                      <w:szCs w:val="24"/>
                    </w:rPr>
                    <w:t>+0.2</w:t>
                  </w:r>
                </w:p>
              </w:tc>
            </w:tr>
          </w:tbl>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The attainment gap in all areas </w:t>
            </w:r>
            <w:proofErr w:type="gramStart"/>
            <w:r w:rsidRPr="0085391B">
              <w:rPr>
                <w:rFonts w:asciiTheme="minorHAnsi" w:hAnsiTheme="minorHAnsi" w:cstheme="minorHAnsi"/>
              </w:rPr>
              <w:t>has been reduced</w:t>
            </w:r>
            <w:proofErr w:type="gramEnd"/>
            <w:r w:rsidRPr="0085391B">
              <w:rPr>
                <w:rFonts w:asciiTheme="minorHAnsi" w:hAnsiTheme="minorHAnsi" w:cstheme="minorHAnsi"/>
              </w:rPr>
              <w:t xml:space="preserve"> since 2016 and 2017 results.</w:t>
            </w:r>
          </w:p>
          <w:p w:rsidR="004E10B5" w:rsidRPr="0085391B" w:rsidRDefault="004E10B5" w:rsidP="00AC76D0">
            <w:pPr>
              <w:pStyle w:val="NoSpacing"/>
              <w:rPr>
                <w:rFonts w:cstheme="minorHAnsi"/>
                <w:bCs/>
                <w:sz w:val="24"/>
                <w:szCs w:val="24"/>
                <w:u w:val="single"/>
              </w:rPr>
            </w:pP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Reading – 4 out of the 7 children met the national standard. The 3 children who did not had significant barriers to learning and made expected progress as predicted. 2 children did not maintain progress rates from KS1 to meet the expected standard at the end of KS2 at greater depth. 1 of these children had counselling throughout the year to support with significant changes to personal circumstances.  The other children did not complete the paper, although if she had done, she would have attained greater depth.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Writing- 6 out of the 7 children met the national standard with 1 of these children achieving greater depth. In </w:t>
            </w:r>
            <w:proofErr w:type="gramStart"/>
            <w:r w:rsidRPr="0085391B">
              <w:rPr>
                <w:rFonts w:asciiTheme="minorHAnsi" w:hAnsiTheme="minorHAnsi" w:cstheme="minorHAnsi"/>
              </w:rPr>
              <w:t>writing</w:t>
            </w:r>
            <w:proofErr w:type="gramEnd"/>
            <w:r w:rsidRPr="0085391B">
              <w:rPr>
                <w:rFonts w:asciiTheme="minorHAnsi" w:hAnsiTheme="minorHAnsi" w:cstheme="minorHAnsi"/>
              </w:rPr>
              <w:t xml:space="preserve"> all children made expected progress.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Maths – 3 out of the 7 children mat the national standard. Out of the 4 children who did not, 3 made expected and predicted progress. 1 children did not perform as expected on the text as was within a few marks of passing.</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£10,000</w:t>
            </w:r>
          </w:p>
          <w:p w:rsidR="004E10B5" w:rsidRPr="0085391B" w:rsidRDefault="004E10B5" w:rsidP="00AC76D0">
            <w:pPr>
              <w:spacing w:after="0"/>
              <w:rPr>
                <w:rFonts w:asciiTheme="minorHAnsi" w:hAnsiTheme="minorHAnsi" w:cstheme="minorHAnsi"/>
              </w:rPr>
            </w:pPr>
          </w:p>
        </w:tc>
      </w:tr>
      <w:tr w:rsidR="004E10B5" w:rsidRPr="00326C32" w:rsidTr="004E10B5">
        <w:trPr>
          <w:trHeight w:hRule="exact" w:val="7720"/>
        </w:trPr>
        <w:tc>
          <w:tcPr>
            <w:tcW w:w="2235" w:type="dxa"/>
            <w:vMerge/>
            <w:tcMar>
              <w:top w:w="57" w:type="dxa"/>
              <w:bottom w:w="57" w:type="dxa"/>
            </w:tcMar>
          </w:tcPr>
          <w:p w:rsidR="004E10B5" w:rsidRPr="0085391B" w:rsidRDefault="004E10B5" w:rsidP="00AC76D0">
            <w:pPr>
              <w:rPr>
                <w:rFonts w:asciiTheme="minorHAnsi" w:hAnsiTheme="minorHAnsi" w:cstheme="minorHAnsi"/>
              </w:rPr>
            </w:pPr>
          </w:p>
        </w:tc>
        <w:tc>
          <w:tcPr>
            <w:tcW w:w="2443" w:type="dxa"/>
            <w:tcMar>
              <w:top w:w="57" w:type="dxa"/>
              <w:bottom w:w="57" w:type="dxa"/>
            </w:tcMar>
          </w:tcPr>
          <w:p w:rsidR="004E10B5" w:rsidRPr="0085391B" w:rsidRDefault="004E10B5" w:rsidP="00AC76D0">
            <w:pPr>
              <w:spacing w:after="0"/>
              <w:rPr>
                <w:rFonts w:asciiTheme="minorHAnsi" w:eastAsia="Calibri" w:hAnsiTheme="minorHAnsi" w:cstheme="minorHAnsi"/>
                <w:color w:val="000000" w:themeColor="text1"/>
              </w:rPr>
            </w:pPr>
            <w:r w:rsidRPr="0085391B">
              <w:rPr>
                <w:rFonts w:asciiTheme="minorHAnsi" w:eastAsia="Calibri" w:hAnsiTheme="minorHAnsi" w:cstheme="minorHAnsi"/>
                <w:color w:val="000000" w:themeColor="text1"/>
              </w:rPr>
              <w:t>Additional TA in Lower KS2 to support class teaching and implement intervention programmes. Focus on percentage of children meeting Greater Depth in relation to EYFS starting points.</w:t>
            </w:r>
          </w:p>
          <w:p w:rsidR="004E10B5" w:rsidRPr="0085391B" w:rsidRDefault="004E10B5" w:rsidP="00AC76D0">
            <w:pPr>
              <w:spacing w:after="0"/>
              <w:rPr>
                <w:rFonts w:asciiTheme="minorHAnsi" w:eastAsia="Calibri" w:hAnsiTheme="minorHAnsi" w:cstheme="minorHAnsi"/>
                <w:color w:val="000000" w:themeColor="text1"/>
              </w:rPr>
            </w:pPr>
          </w:p>
          <w:p w:rsidR="004E10B5" w:rsidRPr="0085391B" w:rsidRDefault="004E10B5" w:rsidP="00AC76D0">
            <w:pPr>
              <w:spacing w:after="0"/>
              <w:rPr>
                <w:rFonts w:asciiTheme="minorHAnsi" w:hAnsiTheme="minorHAnsi" w:cstheme="minorHAnsi"/>
              </w:rPr>
            </w:pPr>
          </w:p>
        </w:tc>
        <w:tc>
          <w:tcPr>
            <w:tcW w:w="5528" w:type="dxa"/>
            <w:tcMar>
              <w:top w:w="57" w:type="dxa"/>
              <w:bottom w:w="57" w:type="dxa"/>
            </w:tcMar>
          </w:tcPr>
          <w:p w:rsidR="004E10B5" w:rsidRPr="0085391B" w:rsidRDefault="004E10B5" w:rsidP="00AC76D0">
            <w:pPr>
              <w:pStyle w:val="NoSpacing"/>
              <w:rPr>
                <w:rFonts w:cstheme="minorHAnsi"/>
                <w:bCs/>
                <w:sz w:val="24"/>
                <w:szCs w:val="24"/>
              </w:rPr>
            </w:pPr>
            <w:r w:rsidRPr="0085391B">
              <w:rPr>
                <w:rFonts w:cstheme="minorHAnsi"/>
                <w:bCs/>
                <w:sz w:val="24"/>
                <w:szCs w:val="24"/>
              </w:rPr>
              <w:t xml:space="preserve">12 different interventions programmes have ran throughout the year for reading, writing, mathematics, social interaction and communication development, physical development, emotional development and speech and language therapy. </w:t>
            </w:r>
          </w:p>
          <w:p w:rsidR="004E10B5" w:rsidRPr="0085391B" w:rsidRDefault="004E10B5" w:rsidP="00AC76D0">
            <w:pPr>
              <w:pStyle w:val="NoSpacing"/>
              <w:rPr>
                <w:rFonts w:cstheme="minorHAnsi"/>
                <w:bCs/>
                <w:sz w:val="24"/>
                <w:szCs w:val="24"/>
              </w:rPr>
            </w:pPr>
          </w:p>
          <w:p w:rsidR="004E10B5" w:rsidRPr="0085391B" w:rsidRDefault="004E10B5" w:rsidP="00AC76D0">
            <w:pPr>
              <w:pStyle w:val="NoSpacing"/>
              <w:rPr>
                <w:rFonts w:cstheme="minorHAnsi"/>
                <w:bCs/>
                <w:sz w:val="24"/>
                <w:szCs w:val="24"/>
              </w:rPr>
            </w:pPr>
            <w:r w:rsidRPr="0085391B">
              <w:rPr>
                <w:rFonts w:cstheme="minorHAnsi"/>
                <w:bCs/>
                <w:sz w:val="24"/>
                <w:szCs w:val="24"/>
              </w:rPr>
              <w:t xml:space="preserve">11 intervention programmes have resulted in accelerated progress being made with positive outcomes; </w:t>
            </w:r>
          </w:p>
          <w:p w:rsidR="004E10B5" w:rsidRPr="0085391B" w:rsidRDefault="004E10B5" w:rsidP="00AC76D0">
            <w:pPr>
              <w:pStyle w:val="NoSpacing"/>
              <w:rPr>
                <w:rFonts w:cstheme="minorHAnsi"/>
                <w:bCs/>
                <w:sz w:val="24"/>
                <w:szCs w:val="24"/>
              </w:rPr>
            </w:pPr>
          </w:p>
          <w:p w:rsidR="004E10B5" w:rsidRPr="0085391B" w:rsidRDefault="004E10B5" w:rsidP="004E10B5">
            <w:pPr>
              <w:pStyle w:val="NoSpacing"/>
              <w:numPr>
                <w:ilvl w:val="0"/>
                <w:numId w:val="4"/>
              </w:numPr>
              <w:rPr>
                <w:rFonts w:cstheme="minorHAnsi"/>
                <w:bCs/>
                <w:sz w:val="24"/>
                <w:szCs w:val="24"/>
              </w:rPr>
            </w:pPr>
            <w:proofErr w:type="gramStart"/>
            <w:r w:rsidRPr="0085391B">
              <w:rPr>
                <w:rFonts w:cstheme="minorHAnsi"/>
                <w:bCs/>
                <w:sz w:val="24"/>
                <w:szCs w:val="24"/>
              </w:rPr>
              <w:t>2</w:t>
            </w:r>
            <w:proofErr w:type="gramEnd"/>
            <w:r w:rsidRPr="0085391B">
              <w:rPr>
                <w:rFonts w:cstheme="minorHAnsi"/>
                <w:bCs/>
                <w:sz w:val="24"/>
                <w:szCs w:val="24"/>
              </w:rPr>
              <w:t xml:space="preserve"> of the Year 3 children have now been removed from the SEND register as an outcome of accelerated progress. </w:t>
            </w:r>
          </w:p>
          <w:p w:rsidR="004E10B5" w:rsidRPr="0085391B" w:rsidRDefault="004E10B5" w:rsidP="004E10B5">
            <w:pPr>
              <w:pStyle w:val="NoSpacing"/>
              <w:numPr>
                <w:ilvl w:val="0"/>
                <w:numId w:val="4"/>
              </w:numPr>
              <w:rPr>
                <w:rFonts w:cstheme="minorHAnsi"/>
                <w:bCs/>
                <w:sz w:val="24"/>
                <w:szCs w:val="24"/>
              </w:rPr>
            </w:pPr>
            <w:r w:rsidRPr="0085391B">
              <w:rPr>
                <w:rFonts w:cstheme="minorHAnsi"/>
                <w:bCs/>
                <w:sz w:val="24"/>
                <w:szCs w:val="24"/>
              </w:rPr>
              <w:t>2 of the Year 4 children have now been removed from the SEND register as an outcome of accelerated progress</w:t>
            </w:r>
          </w:p>
          <w:p w:rsidR="004E10B5" w:rsidRPr="0085391B" w:rsidRDefault="004E10B5" w:rsidP="004E10B5">
            <w:pPr>
              <w:pStyle w:val="ListParagraph"/>
              <w:numPr>
                <w:ilvl w:val="0"/>
                <w:numId w:val="4"/>
              </w:numPr>
              <w:rPr>
                <w:rFonts w:asciiTheme="minorHAnsi" w:hAnsiTheme="minorHAnsi" w:cstheme="minorHAnsi"/>
                <w:bCs/>
                <w:i/>
              </w:rPr>
            </w:pPr>
            <w:r w:rsidRPr="0085391B">
              <w:rPr>
                <w:rFonts w:asciiTheme="minorHAnsi" w:hAnsiTheme="minorHAnsi" w:cstheme="minorHAnsi"/>
                <w:bCs/>
                <w:i/>
              </w:rPr>
              <w:t>*see SEND impact and outcomes tracking document for progress breakdowns.</w:t>
            </w:r>
          </w:p>
          <w:p w:rsidR="004E10B5" w:rsidRPr="0085391B" w:rsidRDefault="004E10B5" w:rsidP="004E10B5">
            <w:pPr>
              <w:pStyle w:val="ListParagraph"/>
              <w:numPr>
                <w:ilvl w:val="0"/>
                <w:numId w:val="4"/>
              </w:numPr>
              <w:rPr>
                <w:rFonts w:asciiTheme="minorHAnsi" w:hAnsiTheme="minorHAnsi" w:cstheme="minorHAnsi"/>
                <w:bCs/>
              </w:rPr>
            </w:pPr>
            <w:r w:rsidRPr="0085391B">
              <w:rPr>
                <w:rFonts w:asciiTheme="minorHAnsi" w:hAnsiTheme="minorHAnsi" w:cstheme="minorHAnsi"/>
                <w:bCs/>
              </w:rPr>
              <w:t xml:space="preserve">In year 4, 38% of the PP children have made accelerated progress and are now working at greater depth after direct intervention. All year </w:t>
            </w:r>
            <w:proofErr w:type="gramStart"/>
            <w:r w:rsidRPr="0085391B">
              <w:rPr>
                <w:rFonts w:asciiTheme="minorHAnsi" w:hAnsiTheme="minorHAnsi" w:cstheme="minorHAnsi"/>
                <w:bCs/>
              </w:rPr>
              <w:t>4</w:t>
            </w:r>
            <w:proofErr w:type="gramEnd"/>
            <w:r w:rsidRPr="0085391B">
              <w:rPr>
                <w:rFonts w:asciiTheme="minorHAnsi" w:hAnsiTheme="minorHAnsi" w:cstheme="minorHAnsi"/>
                <w:bCs/>
              </w:rPr>
              <w:t xml:space="preserve"> children have maintained progress from their KS1 assessments. PP children continue to be 9% above national data.</w:t>
            </w:r>
          </w:p>
        </w:tc>
        <w:tc>
          <w:tcPr>
            <w:tcW w:w="4536"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Intervention entry and exit assessments show a direct impact on progress and attainment. Some SEN children have made adequate progress to </w:t>
            </w:r>
            <w:proofErr w:type="gramStart"/>
            <w:r w:rsidRPr="0085391B">
              <w:rPr>
                <w:rFonts w:asciiTheme="minorHAnsi" w:hAnsiTheme="minorHAnsi" w:cstheme="minorHAnsi"/>
              </w:rPr>
              <w:t>be removed</w:t>
            </w:r>
            <w:proofErr w:type="gramEnd"/>
            <w:r w:rsidRPr="0085391B">
              <w:rPr>
                <w:rFonts w:asciiTheme="minorHAnsi" w:hAnsiTheme="minorHAnsi" w:cstheme="minorHAnsi"/>
              </w:rPr>
              <w:t xml:space="preserve"> from the register. Some children have made accelerated progress to move to be working at Greater Depth.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 2017-2018 – Additional interventions will run for PP children targeting those who require accelerated progress to maintain KS1 starting points and those who need to close the attainment gap. </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£11,000</w:t>
            </w:r>
          </w:p>
          <w:p w:rsidR="004E10B5" w:rsidRPr="0085391B" w:rsidRDefault="004E10B5" w:rsidP="00AC76D0">
            <w:pPr>
              <w:spacing w:after="0"/>
              <w:rPr>
                <w:rFonts w:asciiTheme="minorHAnsi" w:hAnsiTheme="minorHAnsi" w:cstheme="minorHAnsi"/>
              </w:rPr>
            </w:pPr>
          </w:p>
        </w:tc>
      </w:tr>
      <w:tr w:rsidR="004E10B5" w:rsidRPr="00326C32" w:rsidTr="004E10B5">
        <w:trPr>
          <w:trHeight w:hRule="exact" w:val="6161"/>
        </w:trPr>
        <w:tc>
          <w:tcPr>
            <w:tcW w:w="2235" w:type="dxa"/>
            <w:vMerge/>
            <w:tcMar>
              <w:top w:w="57" w:type="dxa"/>
              <w:bottom w:w="57" w:type="dxa"/>
            </w:tcMar>
          </w:tcPr>
          <w:p w:rsidR="004E10B5" w:rsidRPr="00F04564" w:rsidRDefault="004E10B5" w:rsidP="00AC76D0">
            <w:pPr>
              <w:rPr>
                <w:rFonts w:cs="Arial"/>
                <w:b/>
                <w:highlight w:val="yellow"/>
              </w:rPr>
            </w:pPr>
          </w:p>
        </w:tc>
        <w:tc>
          <w:tcPr>
            <w:tcW w:w="2443" w:type="dxa"/>
            <w:tcMar>
              <w:top w:w="57" w:type="dxa"/>
              <w:bottom w:w="57" w:type="dxa"/>
            </w:tcMar>
          </w:tcPr>
          <w:p w:rsidR="004E10B5" w:rsidRPr="006060E0" w:rsidRDefault="004E10B5" w:rsidP="00AC76D0">
            <w:pPr>
              <w:spacing w:after="0"/>
              <w:rPr>
                <w:rFonts w:asciiTheme="minorHAnsi" w:eastAsia="Calibri" w:hAnsiTheme="minorHAnsi" w:cstheme="minorHAnsi"/>
                <w:color w:val="000000" w:themeColor="text1"/>
              </w:rPr>
            </w:pPr>
            <w:r w:rsidRPr="006060E0">
              <w:rPr>
                <w:rFonts w:asciiTheme="minorHAnsi" w:eastAsia="Calibri" w:hAnsiTheme="minorHAnsi" w:cs="Comic Sans MS"/>
                <w:color w:val="000000" w:themeColor="text1"/>
              </w:rPr>
              <w:t>Contribution to cost of full time TA support in each class to raise attainment and accelerate pupils progress through intervention for children working at all abilities including SEN, National Average and Greater Depth.</w:t>
            </w:r>
            <w:r w:rsidRPr="006060E0">
              <w:rPr>
                <w:rFonts w:asciiTheme="minorHAnsi" w:eastAsia="Calibri" w:hAnsiTheme="minorHAnsi" w:cstheme="minorHAnsi"/>
                <w:color w:val="000000" w:themeColor="text1"/>
              </w:rPr>
              <w:t xml:space="preserve"> </w:t>
            </w:r>
          </w:p>
          <w:p w:rsidR="004E10B5" w:rsidRPr="006060E0" w:rsidRDefault="004E10B5" w:rsidP="00AC76D0">
            <w:pPr>
              <w:rPr>
                <w:rFonts w:cs="Arial"/>
                <w:b/>
              </w:rPr>
            </w:pPr>
          </w:p>
        </w:tc>
        <w:tc>
          <w:tcPr>
            <w:tcW w:w="5528" w:type="dxa"/>
            <w:tcMar>
              <w:top w:w="57" w:type="dxa"/>
              <w:bottom w:w="57" w:type="dxa"/>
            </w:tcMar>
          </w:tcPr>
          <w:p w:rsidR="004E10B5" w:rsidRPr="0085391B" w:rsidRDefault="004E10B5" w:rsidP="004E10B5">
            <w:pPr>
              <w:pStyle w:val="ListParagraph"/>
              <w:numPr>
                <w:ilvl w:val="0"/>
                <w:numId w:val="5"/>
              </w:numPr>
              <w:spacing w:after="0" w:line="240" w:lineRule="auto"/>
              <w:ind w:left="452"/>
              <w:rPr>
                <w:rFonts w:ascii="Calibri" w:eastAsia="Calibri" w:hAnsi="Calibri" w:cs="Calibri"/>
                <w:bCs/>
                <w:color w:val="auto"/>
                <w:szCs w:val="22"/>
                <w:lang w:eastAsia="en-US"/>
              </w:rPr>
            </w:pPr>
            <w:proofErr w:type="gramStart"/>
            <w:r w:rsidRPr="0085391B">
              <w:rPr>
                <w:rFonts w:ascii="Calibri" w:eastAsia="Calibri" w:hAnsi="Calibri" w:cs="Calibri"/>
                <w:bCs/>
                <w:color w:val="auto"/>
                <w:szCs w:val="22"/>
                <w:lang w:eastAsia="en-US"/>
              </w:rPr>
              <w:t>1</w:t>
            </w:r>
            <w:proofErr w:type="gramEnd"/>
            <w:r w:rsidRPr="0085391B">
              <w:rPr>
                <w:rFonts w:ascii="Calibri" w:eastAsia="Calibri" w:hAnsi="Calibri" w:cs="Calibri"/>
                <w:bCs/>
                <w:color w:val="auto"/>
                <w:szCs w:val="22"/>
                <w:lang w:eastAsia="en-US"/>
              </w:rPr>
              <w:t xml:space="preserve"> Teaching Assistant has been supporting teaching and learning and aiding progress in every class. </w:t>
            </w:r>
          </w:p>
          <w:p w:rsidR="004E10B5" w:rsidRPr="0085391B" w:rsidRDefault="004E10B5" w:rsidP="004E10B5">
            <w:pPr>
              <w:pStyle w:val="ListParagraph"/>
              <w:numPr>
                <w:ilvl w:val="0"/>
                <w:numId w:val="5"/>
              </w:numPr>
              <w:spacing w:after="0" w:line="240" w:lineRule="auto"/>
              <w:ind w:left="452"/>
              <w:rPr>
                <w:rFonts w:ascii="Calibri" w:eastAsia="Calibri" w:hAnsi="Calibri" w:cs="Calibri"/>
                <w:bCs/>
                <w:color w:val="auto"/>
                <w:szCs w:val="22"/>
                <w:lang w:eastAsia="en-US"/>
              </w:rPr>
            </w:pPr>
            <w:r w:rsidRPr="0085391B">
              <w:rPr>
                <w:rFonts w:ascii="Calibri" w:eastAsia="Calibri" w:hAnsi="Calibri" w:cs="Calibri"/>
                <w:bCs/>
                <w:color w:val="auto"/>
                <w:szCs w:val="22"/>
                <w:lang w:eastAsia="en-US"/>
              </w:rPr>
              <w:t xml:space="preserve">An additional </w:t>
            </w:r>
            <w:proofErr w:type="gramStart"/>
            <w:r w:rsidRPr="0085391B">
              <w:rPr>
                <w:rFonts w:ascii="Calibri" w:eastAsia="Calibri" w:hAnsi="Calibri" w:cs="Calibri"/>
                <w:bCs/>
                <w:color w:val="auto"/>
                <w:szCs w:val="22"/>
                <w:lang w:eastAsia="en-US"/>
              </w:rPr>
              <w:t>3</w:t>
            </w:r>
            <w:proofErr w:type="gramEnd"/>
            <w:r w:rsidRPr="0085391B">
              <w:rPr>
                <w:rFonts w:ascii="Calibri" w:eastAsia="Calibri" w:hAnsi="Calibri" w:cs="Calibri"/>
                <w:bCs/>
                <w:color w:val="auto"/>
                <w:szCs w:val="22"/>
                <w:lang w:eastAsia="en-US"/>
              </w:rPr>
              <w:t xml:space="preserve"> Teaching Assistants run specialised interventions programmes throughout school including supporting families.</w:t>
            </w:r>
          </w:p>
          <w:p w:rsidR="004E10B5" w:rsidRPr="0085391B" w:rsidRDefault="004E10B5" w:rsidP="004E10B5">
            <w:pPr>
              <w:pStyle w:val="ListParagraph"/>
              <w:numPr>
                <w:ilvl w:val="0"/>
                <w:numId w:val="5"/>
              </w:numPr>
              <w:spacing w:after="0" w:line="240" w:lineRule="auto"/>
              <w:ind w:left="452"/>
              <w:rPr>
                <w:rFonts w:ascii="Calibri" w:eastAsia="Calibri" w:hAnsi="Calibri" w:cs="Calibri"/>
                <w:bCs/>
                <w:color w:val="auto"/>
                <w:szCs w:val="22"/>
                <w:lang w:eastAsia="en-US"/>
              </w:rPr>
            </w:pPr>
            <w:r w:rsidRPr="0085391B">
              <w:rPr>
                <w:rFonts w:ascii="Calibri" w:eastAsia="Calibri" w:hAnsi="Calibri" w:cs="Calibri"/>
                <w:bCs/>
                <w:color w:val="auto"/>
                <w:szCs w:val="22"/>
                <w:lang w:eastAsia="en-US"/>
              </w:rPr>
              <w:t xml:space="preserve">TA’s have specialised training on specific interventions and keep detailed records of entry and exit assessments for interventions that run for SEND and Greater Depth children. ** </w:t>
            </w:r>
            <w:r w:rsidRPr="0085391B">
              <w:rPr>
                <w:rFonts w:ascii="Calibri" w:eastAsia="Calibri" w:hAnsi="Calibri" w:cs="Calibri"/>
                <w:bCs/>
                <w:i/>
                <w:color w:val="auto"/>
                <w:szCs w:val="22"/>
                <w:lang w:eastAsia="en-US"/>
              </w:rPr>
              <w:t>See additional SEN Tracking data.</w:t>
            </w:r>
            <w:r w:rsidRPr="0085391B">
              <w:rPr>
                <w:rFonts w:ascii="Calibri" w:eastAsia="Calibri" w:hAnsi="Calibri" w:cs="Calibri"/>
                <w:bCs/>
                <w:color w:val="auto"/>
                <w:szCs w:val="22"/>
                <w:lang w:eastAsia="en-US"/>
              </w:rPr>
              <w:t xml:space="preserve"> </w:t>
            </w:r>
          </w:p>
          <w:p w:rsidR="004E10B5" w:rsidRPr="0085391B" w:rsidRDefault="004E10B5" w:rsidP="004E10B5">
            <w:pPr>
              <w:pStyle w:val="ListParagraph"/>
              <w:numPr>
                <w:ilvl w:val="0"/>
                <w:numId w:val="5"/>
              </w:numPr>
              <w:ind w:left="452"/>
              <w:rPr>
                <w:rFonts w:cs="Arial"/>
                <w:b/>
                <w:sz w:val="28"/>
              </w:rPr>
            </w:pPr>
            <w:r w:rsidRPr="0085391B">
              <w:rPr>
                <w:rFonts w:ascii="Calibri" w:eastAsia="Calibri" w:hAnsi="Calibri" w:cs="Calibri"/>
                <w:bCs/>
                <w:color w:val="auto"/>
                <w:szCs w:val="22"/>
                <w:lang w:eastAsia="en-US"/>
              </w:rPr>
              <w:t xml:space="preserve">Target and Challenge children </w:t>
            </w:r>
            <w:proofErr w:type="gramStart"/>
            <w:r w:rsidRPr="0085391B">
              <w:rPr>
                <w:rFonts w:ascii="Calibri" w:eastAsia="Calibri" w:hAnsi="Calibri" w:cs="Calibri"/>
                <w:bCs/>
                <w:color w:val="auto"/>
                <w:szCs w:val="22"/>
                <w:lang w:eastAsia="en-US"/>
              </w:rPr>
              <w:t>are identified</w:t>
            </w:r>
            <w:proofErr w:type="gramEnd"/>
            <w:r w:rsidRPr="0085391B">
              <w:rPr>
                <w:rFonts w:ascii="Calibri" w:eastAsia="Calibri" w:hAnsi="Calibri" w:cs="Calibri"/>
                <w:bCs/>
                <w:color w:val="auto"/>
                <w:szCs w:val="22"/>
                <w:lang w:eastAsia="en-US"/>
              </w:rPr>
              <w:t xml:space="preserve"> at Pupil Progress Meetings throughout the year and progression is carefully tracked.</w:t>
            </w:r>
          </w:p>
          <w:tbl>
            <w:tblPr>
              <w:tblStyle w:val="TableGrid"/>
              <w:tblW w:w="0" w:type="auto"/>
              <w:tblLayout w:type="fixed"/>
              <w:tblLook w:val="04A0" w:firstRow="1" w:lastRow="0" w:firstColumn="1" w:lastColumn="0" w:noHBand="0" w:noVBand="1"/>
            </w:tblPr>
            <w:tblGrid>
              <w:gridCol w:w="1325"/>
              <w:gridCol w:w="1325"/>
              <w:gridCol w:w="1326"/>
              <w:gridCol w:w="1326"/>
            </w:tblGrid>
            <w:tr w:rsidR="004E10B5" w:rsidRPr="006060E0" w:rsidTr="00AC76D0">
              <w:tc>
                <w:tcPr>
                  <w:tcW w:w="1325" w:type="dxa"/>
                  <w:vMerge w:val="restart"/>
                  <w:vAlign w:val="center"/>
                </w:tcPr>
                <w:p w:rsidR="004E10B5" w:rsidRPr="006060E0" w:rsidRDefault="004E10B5" w:rsidP="00AC76D0">
                  <w:pPr>
                    <w:pStyle w:val="NoSpacing"/>
                    <w:jc w:val="center"/>
                  </w:pPr>
                  <w:r w:rsidRPr="006060E0">
                    <w:t>Year Group</w:t>
                  </w:r>
                </w:p>
              </w:tc>
              <w:tc>
                <w:tcPr>
                  <w:tcW w:w="2651" w:type="dxa"/>
                  <w:gridSpan w:val="2"/>
                  <w:vAlign w:val="center"/>
                </w:tcPr>
                <w:p w:rsidR="004E10B5" w:rsidRPr="006060E0" w:rsidRDefault="004E10B5" w:rsidP="00AC76D0">
                  <w:pPr>
                    <w:pStyle w:val="NoSpacing"/>
                    <w:jc w:val="center"/>
                  </w:pPr>
                  <w:r w:rsidRPr="006060E0">
                    <w:t>Summer</w:t>
                  </w:r>
                </w:p>
              </w:tc>
              <w:tc>
                <w:tcPr>
                  <w:tcW w:w="1326" w:type="dxa"/>
                  <w:vMerge w:val="restart"/>
                  <w:vAlign w:val="center"/>
                </w:tcPr>
                <w:p w:rsidR="004E10B5" w:rsidRPr="006060E0" w:rsidRDefault="004E10B5" w:rsidP="00AC76D0">
                  <w:pPr>
                    <w:pStyle w:val="NoSpacing"/>
                    <w:jc w:val="center"/>
                  </w:pPr>
                  <w:r w:rsidRPr="006060E0">
                    <w:t>National</w:t>
                  </w:r>
                </w:p>
              </w:tc>
            </w:tr>
            <w:tr w:rsidR="004E10B5" w:rsidRPr="006060E0" w:rsidTr="00AC76D0">
              <w:tc>
                <w:tcPr>
                  <w:tcW w:w="1325" w:type="dxa"/>
                  <w:vMerge/>
                  <w:vAlign w:val="center"/>
                </w:tcPr>
                <w:p w:rsidR="004E10B5" w:rsidRPr="006060E0" w:rsidRDefault="004E10B5" w:rsidP="00AC76D0">
                  <w:pPr>
                    <w:pStyle w:val="NoSpacing"/>
                    <w:jc w:val="center"/>
                  </w:pPr>
                </w:p>
              </w:tc>
              <w:tc>
                <w:tcPr>
                  <w:tcW w:w="1325" w:type="dxa"/>
                  <w:vAlign w:val="center"/>
                </w:tcPr>
                <w:p w:rsidR="004E10B5" w:rsidRPr="006060E0" w:rsidRDefault="004E10B5" w:rsidP="00AC76D0">
                  <w:pPr>
                    <w:pStyle w:val="NoSpacing"/>
                    <w:jc w:val="center"/>
                  </w:pPr>
                  <w:r w:rsidRPr="006060E0">
                    <w:t>PP</w:t>
                  </w:r>
                </w:p>
              </w:tc>
              <w:tc>
                <w:tcPr>
                  <w:tcW w:w="1326" w:type="dxa"/>
                  <w:vAlign w:val="center"/>
                </w:tcPr>
                <w:p w:rsidR="004E10B5" w:rsidRPr="006060E0" w:rsidRDefault="004E10B5" w:rsidP="00AC76D0">
                  <w:pPr>
                    <w:pStyle w:val="NoSpacing"/>
                    <w:jc w:val="center"/>
                  </w:pPr>
                  <w:r w:rsidRPr="006060E0">
                    <w:t>Non-PP</w:t>
                  </w:r>
                </w:p>
              </w:tc>
              <w:tc>
                <w:tcPr>
                  <w:tcW w:w="1326" w:type="dxa"/>
                  <w:vMerge/>
                  <w:vAlign w:val="center"/>
                </w:tcPr>
                <w:p w:rsidR="004E10B5" w:rsidRPr="006060E0" w:rsidRDefault="004E10B5" w:rsidP="00AC76D0">
                  <w:pPr>
                    <w:pStyle w:val="NoSpacing"/>
                    <w:jc w:val="center"/>
                  </w:pPr>
                </w:p>
              </w:tc>
            </w:tr>
            <w:tr w:rsidR="004E10B5" w:rsidRPr="006060E0" w:rsidTr="00AC76D0">
              <w:tc>
                <w:tcPr>
                  <w:tcW w:w="1325" w:type="dxa"/>
                  <w:vAlign w:val="center"/>
                </w:tcPr>
                <w:p w:rsidR="004E10B5" w:rsidRPr="006060E0" w:rsidRDefault="004E10B5" w:rsidP="00AC76D0">
                  <w:pPr>
                    <w:pStyle w:val="NoSpacing"/>
                    <w:jc w:val="center"/>
                  </w:pPr>
                  <w:r w:rsidRPr="006060E0">
                    <w:t>Y1 ARE</w:t>
                  </w:r>
                </w:p>
              </w:tc>
              <w:tc>
                <w:tcPr>
                  <w:tcW w:w="1325" w:type="dxa"/>
                  <w:vAlign w:val="center"/>
                </w:tcPr>
                <w:p w:rsidR="004E10B5" w:rsidRPr="006060E0" w:rsidRDefault="004E10B5" w:rsidP="00AC76D0">
                  <w:pPr>
                    <w:pStyle w:val="NoSpacing"/>
                    <w:jc w:val="center"/>
                  </w:pPr>
                  <w:r w:rsidRPr="006060E0">
                    <w:t>86%</w:t>
                  </w:r>
                </w:p>
              </w:tc>
              <w:tc>
                <w:tcPr>
                  <w:tcW w:w="1326" w:type="dxa"/>
                  <w:vAlign w:val="center"/>
                </w:tcPr>
                <w:p w:rsidR="004E10B5" w:rsidRPr="006060E0" w:rsidRDefault="004E10B5" w:rsidP="00AC76D0">
                  <w:pPr>
                    <w:pStyle w:val="NoSpacing"/>
                    <w:jc w:val="center"/>
                  </w:pPr>
                  <w:r w:rsidRPr="006060E0">
                    <w:t>75%</w:t>
                  </w:r>
                </w:p>
              </w:tc>
              <w:tc>
                <w:tcPr>
                  <w:tcW w:w="1326" w:type="dxa"/>
                  <w:vAlign w:val="center"/>
                </w:tcPr>
                <w:p w:rsidR="004E10B5" w:rsidRPr="006060E0" w:rsidRDefault="004E10B5" w:rsidP="00AC76D0">
                  <w:pPr>
                    <w:pStyle w:val="NoSpacing"/>
                    <w:jc w:val="center"/>
                  </w:pPr>
                  <w:r w:rsidRPr="006060E0">
                    <w:t>74%</w:t>
                  </w:r>
                </w:p>
              </w:tc>
            </w:tr>
            <w:tr w:rsidR="004E10B5" w:rsidRPr="006060E0" w:rsidTr="00AC76D0">
              <w:tc>
                <w:tcPr>
                  <w:tcW w:w="1325" w:type="dxa"/>
                  <w:vAlign w:val="center"/>
                </w:tcPr>
                <w:p w:rsidR="004E10B5" w:rsidRPr="006060E0" w:rsidRDefault="004E10B5" w:rsidP="00AC76D0">
                  <w:pPr>
                    <w:pStyle w:val="NoSpacing"/>
                    <w:jc w:val="center"/>
                  </w:pPr>
                  <w:r w:rsidRPr="006060E0">
                    <w:t>Y2 ARE</w:t>
                  </w:r>
                </w:p>
              </w:tc>
              <w:tc>
                <w:tcPr>
                  <w:tcW w:w="1325" w:type="dxa"/>
                  <w:vAlign w:val="center"/>
                </w:tcPr>
                <w:p w:rsidR="004E10B5" w:rsidRPr="006060E0" w:rsidRDefault="004E10B5" w:rsidP="00AC76D0">
                  <w:pPr>
                    <w:pStyle w:val="NoSpacing"/>
                    <w:jc w:val="center"/>
                  </w:pPr>
                  <w:r w:rsidRPr="006060E0">
                    <w:t>67%</w:t>
                  </w:r>
                </w:p>
              </w:tc>
              <w:tc>
                <w:tcPr>
                  <w:tcW w:w="1326" w:type="dxa"/>
                  <w:vAlign w:val="center"/>
                </w:tcPr>
                <w:p w:rsidR="004E10B5" w:rsidRPr="006060E0" w:rsidRDefault="004E10B5" w:rsidP="00AC76D0">
                  <w:pPr>
                    <w:pStyle w:val="NoSpacing"/>
                    <w:jc w:val="center"/>
                  </w:pPr>
                  <w:r w:rsidRPr="006060E0">
                    <w:t>74%</w:t>
                  </w:r>
                </w:p>
              </w:tc>
              <w:tc>
                <w:tcPr>
                  <w:tcW w:w="1326" w:type="dxa"/>
                  <w:vAlign w:val="center"/>
                </w:tcPr>
                <w:p w:rsidR="004E10B5" w:rsidRPr="006060E0" w:rsidRDefault="004E10B5" w:rsidP="00AC76D0">
                  <w:pPr>
                    <w:pStyle w:val="NoSpacing"/>
                    <w:jc w:val="center"/>
                  </w:pPr>
                  <w:r w:rsidRPr="006060E0">
                    <w:t>74%</w:t>
                  </w:r>
                </w:p>
              </w:tc>
            </w:tr>
            <w:tr w:rsidR="004E10B5" w:rsidRPr="006060E0" w:rsidTr="00AC76D0">
              <w:tc>
                <w:tcPr>
                  <w:tcW w:w="1325" w:type="dxa"/>
                  <w:vAlign w:val="center"/>
                </w:tcPr>
                <w:p w:rsidR="004E10B5" w:rsidRPr="006060E0" w:rsidRDefault="004E10B5" w:rsidP="00AC76D0">
                  <w:pPr>
                    <w:pStyle w:val="NoSpacing"/>
                    <w:jc w:val="center"/>
                  </w:pPr>
                  <w:r w:rsidRPr="006060E0">
                    <w:t>Y3 ARE</w:t>
                  </w:r>
                </w:p>
              </w:tc>
              <w:tc>
                <w:tcPr>
                  <w:tcW w:w="1325" w:type="dxa"/>
                  <w:vAlign w:val="center"/>
                </w:tcPr>
                <w:p w:rsidR="004E10B5" w:rsidRPr="006060E0" w:rsidRDefault="004E10B5" w:rsidP="00AC76D0">
                  <w:pPr>
                    <w:pStyle w:val="NoSpacing"/>
                    <w:jc w:val="center"/>
                  </w:pPr>
                  <w:r w:rsidRPr="006060E0">
                    <w:t>50%</w:t>
                  </w:r>
                </w:p>
              </w:tc>
              <w:tc>
                <w:tcPr>
                  <w:tcW w:w="1326" w:type="dxa"/>
                  <w:vAlign w:val="center"/>
                </w:tcPr>
                <w:p w:rsidR="004E10B5" w:rsidRPr="006060E0" w:rsidRDefault="004E10B5" w:rsidP="00AC76D0">
                  <w:pPr>
                    <w:pStyle w:val="NoSpacing"/>
                    <w:jc w:val="center"/>
                  </w:pPr>
                  <w:r w:rsidRPr="006060E0">
                    <w:t>89%</w:t>
                  </w:r>
                </w:p>
              </w:tc>
              <w:tc>
                <w:tcPr>
                  <w:tcW w:w="1326" w:type="dxa"/>
                  <w:vAlign w:val="center"/>
                </w:tcPr>
                <w:p w:rsidR="004E10B5" w:rsidRPr="006060E0" w:rsidRDefault="004E10B5" w:rsidP="00AC76D0">
                  <w:pPr>
                    <w:pStyle w:val="NoSpacing"/>
                    <w:jc w:val="center"/>
                  </w:pPr>
                  <w:r w:rsidRPr="006060E0">
                    <w:t>60%</w:t>
                  </w:r>
                </w:p>
              </w:tc>
            </w:tr>
            <w:tr w:rsidR="004E10B5" w:rsidRPr="006060E0" w:rsidTr="00AC76D0">
              <w:tc>
                <w:tcPr>
                  <w:tcW w:w="1325" w:type="dxa"/>
                  <w:vAlign w:val="center"/>
                </w:tcPr>
                <w:p w:rsidR="004E10B5" w:rsidRPr="006060E0" w:rsidRDefault="004E10B5" w:rsidP="00AC76D0">
                  <w:pPr>
                    <w:pStyle w:val="NoSpacing"/>
                    <w:jc w:val="center"/>
                  </w:pPr>
                  <w:r w:rsidRPr="006060E0">
                    <w:t>Y4 ARE</w:t>
                  </w:r>
                </w:p>
              </w:tc>
              <w:tc>
                <w:tcPr>
                  <w:tcW w:w="1325" w:type="dxa"/>
                  <w:vAlign w:val="center"/>
                </w:tcPr>
                <w:p w:rsidR="004E10B5" w:rsidRPr="006060E0" w:rsidRDefault="004E10B5" w:rsidP="00AC76D0">
                  <w:pPr>
                    <w:pStyle w:val="NoSpacing"/>
                    <w:jc w:val="center"/>
                  </w:pPr>
                  <w:r w:rsidRPr="006060E0">
                    <w:t>63%</w:t>
                  </w:r>
                </w:p>
              </w:tc>
              <w:tc>
                <w:tcPr>
                  <w:tcW w:w="1326" w:type="dxa"/>
                  <w:vAlign w:val="center"/>
                </w:tcPr>
                <w:p w:rsidR="004E10B5" w:rsidRPr="006060E0" w:rsidRDefault="004E10B5" w:rsidP="00AC76D0">
                  <w:pPr>
                    <w:pStyle w:val="NoSpacing"/>
                    <w:jc w:val="center"/>
                  </w:pPr>
                  <w:r w:rsidRPr="006060E0">
                    <w:t>76%</w:t>
                  </w:r>
                </w:p>
              </w:tc>
              <w:tc>
                <w:tcPr>
                  <w:tcW w:w="1326" w:type="dxa"/>
                  <w:vAlign w:val="center"/>
                </w:tcPr>
                <w:p w:rsidR="004E10B5" w:rsidRPr="006060E0" w:rsidRDefault="004E10B5" w:rsidP="00AC76D0">
                  <w:pPr>
                    <w:pStyle w:val="NoSpacing"/>
                    <w:jc w:val="center"/>
                  </w:pPr>
                  <w:r w:rsidRPr="006060E0">
                    <w:t>60%</w:t>
                  </w:r>
                </w:p>
              </w:tc>
            </w:tr>
            <w:tr w:rsidR="004E10B5" w:rsidRPr="006060E0" w:rsidTr="00AC76D0">
              <w:tc>
                <w:tcPr>
                  <w:tcW w:w="1325" w:type="dxa"/>
                  <w:vAlign w:val="center"/>
                </w:tcPr>
                <w:p w:rsidR="004E10B5" w:rsidRPr="006060E0" w:rsidRDefault="004E10B5" w:rsidP="00AC76D0">
                  <w:pPr>
                    <w:pStyle w:val="NoSpacing"/>
                    <w:jc w:val="center"/>
                  </w:pPr>
                  <w:r w:rsidRPr="006060E0">
                    <w:t>Y5 ARE</w:t>
                  </w:r>
                </w:p>
              </w:tc>
              <w:tc>
                <w:tcPr>
                  <w:tcW w:w="1325" w:type="dxa"/>
                  <w:vAlign w:val="center"/>
                </w:tcPr>
                <w:p w:rsidR="004E10B5" w:rsidRPr="006060E0" w:rsidRDefault="004E10B5" w:rsidP="00AC76D0">
                  <w:pPr>
                    <w:pStyle w:val="NoSpacing"/>
                    <w:jc w:val="center"/>
                  </w:pPr>
                  <w:r w:rsidRPr="006060E0">
                    <w:t>60%</w:t>
                  </w:r>
                </w:p>
              </w:tc>
              <w:tc>
                <w:tcPr>
                  <w:tcW w:w="1326" w:type="dxa"/>
                  <w:vAlign w:val="center"/>
                </w:tcPr>
                <w:p w:rsidR="004E10B5" w:rsidRPr="006060E0" w:rsidRDefault="004E10B5" w:rsidP="00AC76D0">
                  <w:pPr>
                    <w:pStyle w:val="NoSpacing"/>
                    <w:jc w:val="center"/>
                  </w:pPr>
                  <w:r w:rsidRPr="006060E0">
                    <w:t>78%</w:t>
                  </w:r>
                </w:p>
              </w:tc>
              <w:tc>
                <w:tcPr>
                  <w:tcW w:w="1326" w:type="dxa"/>
                  <w:vAlign w:val="center"/>
                </w:tcPr>
                <w:p w:rsidR="004E10B5" w:rsidRPr="006060E0" w:rsidRDefault="004E10B5" w:rsidP="00AC76D0">
                  <w:pPr>
                    <w:pStyle w:val="NoSpacing"/>
                    <w:jc w:val="center"/>
                  </w:pPr>
                  <w:r w:rsidRPr="006060E0">
                    <w:t>60%</w:t>
                  </w:r>
                </w:p>
              </w:tc>
            </w:tr>
            <w:tr w:rsidR="004E10B5" w:rsidRPr="006060E0" w:rsidTr="00AC76D0">
              <w:tc>
                <w:tcPr>
                  <w:tcW w:w="1325" w:type="dxa"/>
                  <w:vAlign w:val="center"/>
                </w:tcPr>
                <w:p w:rsidR="004E10B5" w:rsidRPr="006060E0" w:rsidRDefault="004E10B5" w:rsidP="00AC76D0">
                  <w:pPr>
                    <w:pStyle w:val="NoSpacing"/>
                    <w:jc w:val="center"/>
                  </w:pPr>
                  <w:r w:rsidRPr="006060E0">
                    <w:t>Y6 ARE</w:t>
                  </w:r>
                </w:p>
              </w:tc>
              <w:tc>
                <w:tcPr>
                  <w:tcW w:w="1325" w:type="dxa"/>
                  <w:vAlign w:val="center"/>
                </w:tcPr>
                <w:p w:rsidR="004E10B5" w:rsidRPr="006060E0" w:rsidRDefault="004E10B5" w:rsidP="00AC76D0">
                  <w:pPr>
                    <w:pStyle w:val="NoSpacing"/>
                    <w:jc w:val="center"/>
                  </w:pPr>
                  <w:r w:rsidRPr="006060E0">
                    <w:t>43%</w:t>
                  </w:r>
                </w:p>
              </w:tc>
              <w:tc>
                <w:tcPr>
                  <w:tcW w:w="1326" w:type="dxa"/>
                  <w:vAlign w:val="center"/>
                </w:tcPr>
                <w:p w:rsidR="004E10B5" w:rsidRPr="006060E0" w:rsidRDefault="004E10B5" w:rsidP="00AC76D0">
                  <w:pPr>
                    <w:pStyle w:val="NoSpacing"/>
                    <w:jc w:val="center"/>
                  </w:pPr>
                  <w:r w:rsidRPr="006060E0">
                    <w:t>75%</w:t>
                  </w:r>
                </w:p>
              </w:tc>
              <w:tc>
                <w:tcPr>
                  <w:tcW w:w="1326" w:type="dxa"/>
                  <w:vAlign w:val="center"/>
                </w:tcPr>
                <w:p w:rsidR="004E10B5" w:rsidRPr="006060E0" w:rsidRDefault="004E10B5" w:rsidP="00AC76D0">
                  <w:pPr>
                    <w:pStyle w:val="NoSpacing"/>
                    <w:jc w:val="center"/>
                  </w:pPr>
                  <w:r w:rsidRPr="006060E0">
                    <w:t>60%</w:t>
                  </w:r>
                </w:p>
              </w:tc>
            </w:tr>
          </w:tbl>
          <w:p w:rsidR="004E10B5" w:rsidRPr="006060E0" w:rsidRDefault="004E10B5" w:rsidP="00AC76D0">
            <w:pPr>
              <w:rPr>
                <w:rFonts w:cs="Arial"/>
                <w:b/>
              </w:rPr>
            </w:pPr>
          </w:p>
        </w:tc>
        <w:tc>
          <w:tcPr>
            <w:tcW w:w="4536"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Wave 2 and wave 3 intervention programmes have ran throughout the year </w:t>
            </w:r>
            <w:proofErr w:type="gramStart"/>
            <w:r w:rsidRPr="0085391B">
              <w:rPr>
                <w:rFonts w:asciiTheme="minorHAnsi" w:hAnsiTheme="minorHAnsi" w:cstheme="minorHAnsi"/>
              </w:rPr>
              <w:t xml:space="preserve">to </w:t>
            </w:r>
            <w:proofErr w:type="spellStart"/>
            <w:r w:rsidRPr="0085391B">
              <w:rPr>
                <w:rFonts w:asciiTheme="minorHAnsi" w:hAnsiTheme="minorHAnsi" w:cstheme="minorHAnsi"/>
              </w:rPr>
              <w:t>bespokely</w:t>
            </w:r>
            <w:proofErr w:type="spellEnd"/>
            <w:r w:rsidRPr="0085391B">
              <w:rPr>
                <w:rFonts w:asciiTheme="minorHAnsi" w:hAnsiTheme="minorHAnsi" w:cstheme="minorHAnsi"/>
              </w:rPr>
              <w:t xml:space="preserve"> meet</w:t>
            </w:r>
            <w:proofErr w:type="gramEnd"/>
            <w:r w:rsidRPr="0085391B">
              <w:rPr>
                <w:rFonts w:asciiTheme="minorHAnsi" w:hAnsiTheme="minorHAnsi" w:cstheme="minorHAnsi"/>
              </w:rPr>
              <w:t xml:space="preserve"> the needs of children.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TA’s have successfully worked with professionals to put interventions and resources in place as well as communicating these to parents. </w:t>
            </w:r>
          </w:p>
          <w:p w:rsidR="004E10B5" w:rsidRPr="0085391B" w:rsidRDefault="004E10B5" w:rsidP="00AC76D0">
            <w:pPr>
              <w:spacing w:after="0"/>
              <w:rPr>
                <w:rFonts w:asciiTheme="minorHAnsi" w:hAnsiTheme="minorHAnsi" w:cstheme="minorHAnsi"/>
                <w:b/>
              </w:rPr>
            </w:pPr>
            <w:r w:rsidRPr="0085391B">
              <w:rPr>
                <w:rFonts w:asciiTheme="minorHAnsi" w:hAnsiTheme="minorHAnsi" w:cstheme="minorHAnsi"/>
                <w:b/>
              </w:rPr>
              <w:t>2017-2018 -</w:t>
            </w:r>
            <w:r w:rsidRPr="0085391B">
              <w:rPr>
                <w:rFonts w:asciiTheme="minorHAnsi" w:hAnsiTheme="minorHAnsi" w:cstheme="minorHAnsi"/>
              </w:rPr>
              <w:t xml:space="preserve"> This will continue to be part of the spending for PP next academic year.</w:t>
            </w:r>
            <w:r w:rsidRPr="0085391B">
              <w:rPr>
                <w:rFonts w:asciiTheme="minorHAnsi" w:hAnsiTheme="minorHAnsi" w:cstheme="minorHAnsi"/>
                <w:b/>
                <w:sz w:val="22"/>
              </w:rPr>
              <w:t xml:space="preserve"> </w:t>
            </w:r>
          </w:p>
        </w:tc>
        <w:tc>
          <w:tcPr>
            <w:tcW w:w="1134" w:type="dxa"/>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£10,066</w:t>
            </w:r>
          </w:p>
          <w:p w:rsidR="004E10B5" w:rsidRPr="0085391B" w:rsidRDefault="004E10B5" w:rsidP="00AC76D0">
            <w:pPr>
              <w:rPr>
                <w:rFonts w:asciiTheme="minorHAnsi" w:hAnsiTheme="minorHAnsi" w:cstheme="minorHAnsi"/>
                <w:b/>
                <w:highlight w:val="yellow"/>
              </w:rPr>
            </w:pPr>
          </w:p>
        </w:tc>
      </w:tr>
      <w:tr w:rsidR="004E10B5" w:rsidRPr="00326C32" w:rsidTr="004E10B5">
        <w:trPr>
          <w:trHeight w:hRule="exact" w:val="7862"/>
        </w:trPr>
        <w:tc>
          <w:tcPr>
            <w:tcW w:w="2235" w:type="dxa"/>
            <w:vMerge/>
            <w:tcMar>
              <w:top w:w="57" w:type="dxa"/>
              <w:bottom w:w="57" w:type="dxa"/>
            </w:tcMar>
          </w:tcPr>
          <w:p w:rsidR="004E10B5" w:rsidRPr="00F04564" w:rsidRDefault="004E10B5" w:rsidP="00AC76D0">
            <w:pPr>
              <w:rPr>
                <w:rFonts w:cs="Arial"/>
                <w:highlight w:val="yellow"/>
              </w:rPr>
            </w:pPr>
          </w:p>
        </w:tc>
        <w:tc>
          <w:tcPr>
            <w:tcW w:w="2443" w:type="dxa"/>
            <w:tcMar>
              <w:top w:w="57" w:type="dxa"/>
              <w:bottom w:w="57" w:type="dxa"/>
            </w:tcMar>
          </w:tcPr>
          <w:p w:rsidR="004E10B5" w:rsidRPr="0085391B" w:rsidRDefault="004E10B5" w:rsidP="00AC76D0">
            <w:pPr>
              <w:spacing w:after="0"/>
              <w:rPr>
                <w:rFonts w:asciiTheme="minorHAnsi" w:eastAsia="Calibri" w:hAnsiTheme="minorHAnsi" w:cstheme="minorHAnsi"/>
                <w:color w:val="000000" w:themeColor="text1"/>
              </w:rPr>
            </w:pPr>
            <w:r w:rsidRPr="0085391B">
              <w:rPr>
                <w:rFonts w:asciiTheme="minorHAnsi" w:eastAsia="Calibri" w:hAnsiTheme="minorHAnsi" w:cstheme="minorHAnsi"/>
                <w:color w:val="000000" w:themeColor="text1"/>
              </w:rPr>
              <w:t>Phase Leaders / core subject leaders to share good practice through quality daily teaching and sharing of expertise, by development of staff (TA’s and teachers) practice, implementation of initiatives.</w:t>
            </w:r>
          </w:p>
          <w:p w:rsidR="004E10B5" w:rsidRPr="0085391B" w:rsidRDefault="004E10B5" w:rsidP="00AC76D0">
            <w:pPr>
              <w:spacing w:after="0"/>
              <w:rPr>
                <w:rFonts w:asciiTheme="minorHAnsi" w:eastAsia="Calibri" w:hAnsiTheme="minorHAnsi" w:cstheme="minorHAnsi"/>
                <w:color w:val="000000" w:themeColor="text1"/>
              </w:rPr>
            </w:pPr>
          </w:p>
        </w:tc>
        <w:tc>
          <w:tcPr>
            <w:tcW w:w="552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Phase Leaders have supported teaching and none teaching staff at various points during the year such as planning, assessments, resources, parent meetings, whole school events and . They hold regular meetings with teaching and support staff to analyse the progress and attainment of PP children. They have identified any improvements required in provision to meet the needs of individual and put action plans in place.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Progress of PP children </w:t>
            </w:r>
            <w:proofErr w:type="gramStart"/>
            <w:r w:rsidRPr="0085391B">
              <w:rPr>
                <w:rFonts w:asciiTheme="minorHAnsi" w:hAnsiTheme="minorHAnsi" w:cstheme="minorHAnsi"/>
              </w:rPr>
              <w:t>has been tracked</w:t>
            </w:r>
            <w:proofErr w:type="gramEnd"/>
            <w:r w:rsidRPr="0085391B">
              <w:rPr>
                <w:rFonts w:asciiTheme="minorHAnsi" w:hAnsiTheme="minorHAnsi" w:cstheme="minorHAnsi"/>
              </w:rPr>
              <w:t xml:space="preserve"> throughout the academic year and case studies written for all children at the end of the summer term. </w:t>
            </w:r>
          </w:p>
          <w:p w:rsidR="004E10B5" w:rsidRPr="0085391B" w:rsidRDefault="004E10B5" w:rsidP="00AC76D0">
            <w:pPr>
              <w:rPr>
                <w:rFonts w:asciiTheme="minorHAnsi" w:hAnsiTheme="minorHAnsi" w:cstheme="minorHAnsi"/>
              </w:rPr>
            </w:pPr>
            <w:r w:rsidRPr="0085391B">
              <w:rPr>
                <w:rFonts w:asciiTheme="minorHAnsi" w:hAnsiTheme="minorHAnsi" w:cstheme="minorHAnsi"/>
              </w:rPr>
              <w:t>Phase and core leaders have demonstrated model lessons with a focus of accelerated progress throughout lessons.</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Book </w:t>
            </w:r>
            <w:proofErr w:type="spellStart"/>
            <w:r w:rsidRPr="0085391B">
              <w:rPr>
                <w:rFonts w:asciiTheme="minorHAnsi" w:hAnsiTheme="minorHAnsi" w:cstheme="minorHAnsi"/>
              </w:rPr>
              <w:t>scrutinys</w:t>
            </w:r>
            <w:proofErr w:type="spellEnd"/>
            <w:r w:rsidRPr="0085391B">
              <w:rPr>
                <w:rFonts w:asciiTheme="minorHAnsi" w:hAnsiTheme="minorHAnsi" w:cstheme="minorHAnsi"/>
              </w:rPr>
              <w:t xml:space="preserve"> have demonstrated progress in lessons and outcomes when objectives </w:t>
            </w:r>
            <w:proofErr w:type="gramStart"/>
            <w:r w:rsidRPr="0085391B">
              <w:rPr>
                <w:rFonts w:asciiTheme="minorHAnsi" w:hAnsiTheme="minorHAnsi" w:cstheme="minorHAnsi"/>
              </w:rPr>
              <w:t>have been met</w:t>
            </w:r>
            <w:proofErr w:type="gramEnd"/>
            <w:r w:rsidRPr="0085391B">
              <w:rPr>
                <w:rFonts w:asciiTheme="minorHAnsi" w:hAnsiTheme="minorHAnsi" w:cstheme="minorHAnsi"/>
              </w:rPr>
              <w:t xml:space="preserve">. Children’s work demonstrates any additional support that </w:t>
            </w:r>
            <w:proofErr w:type="gramStart"/>
            <w:r w:rsidRPr="0085391B">
              <w:rPr>
                <w:rFonts w:asciiTheme="minorHAnsi" w:hAnsiTheme="minorHAnsi" w:cstheme="minorHAnsi"/>
              </w:rPr>
              <w:t>has been provided</w:t>
            </w:r>
            <w:proofErr w:type="gramEnd"/>
            <w:r w:rsidRPr="0085391B">
              <w:rPr>
                <w:rFonts w:asciiTheme="minorHAnsi" w:hAnsiTheme="minorHAnsi" w:cstheme="minorHAnsi"/>
              </w:rPr>
              <w:t xml:space="preserve"> to either support, extend or consolidate learning.  </w:t>
            </w:r>
          </w:p>
          <w:p w:rsidR="004E10B5" w:rsidRPr="0085391B" w:rsidRDefault="004E10B5" w:rsidP="00AC76D0">
            <w:pPr>
              <w:rPr>
                <w:rFonts w:asciiTheme="minorHAnsi" w:hAnsiTheme="minorHAnsi" w:cstheme="minorHAnsi"/>
              </w:rPr>
            </w:pPr>
          </w:p>
        </w:tc>
        <w:tc>
          <w:tcPr>
            <w:tcW w:w="4536"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Action plans have been successful in guiding staff to monitor progress throughout the academic year. Target setting between phase and core leaders and teachers kept staff focused on progress rates.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Regular contact with parents has enabled them to support with any additional learning at home.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Teachers are very knowledgeable about the children they teach. When discussing children’s progress they welcome challenge. They are competent in </w:t>
            </w:r>
            <w:proofErr w:type="gramStart"/>
            <w:r w:rsidRPr="0085391B">
              <w:rPr>
                <w:rFonts w:asciiTheme="minorHAnsi" w:hAnsiTheme="minorHAnsi" w:cstheme="minorHAnsi"/>
              </w:rPr>
              <w:t>moderation and contribute well to local authority</w:t>
            </w:r>
            <w:proofErr w:type="gramEnd"/>
            <w:r w:rsidRPr="0085391B">
              <w:rPr>
                <w:rFonts w:asciiTheme="minorHAnsi" w:hAnsiTheme="minorHAnsi" w:cstheme="minorHAnsi"/>
              </w:rPr>
              <w:t xml:space="preserve"> and pyramid moderations in reading, writing and maths. </w:t>
            </w:r>
          </w:p>
        </w:tc>
        <w:tc>
          <w:tcPr>
            <w:tcW w:w="1134" w:type="dxa"/>
          </w:tcPr>
          <w:p w:rsidR="004E10B5" w:rsidRPr="0085391B" w:rsidRDefault="004E10B5" w:rsidP="00AC76D0">
            <w:pPr>
              <w:rPr>
                <w:rFonts w:asciiTheme="minorHAnsi" w:hAnsiTheme="minorHAnsi" w:cstheme="minorHAnsi"/>
                <w:highlight w:val="yellow"/>
              </w:rPr>
            </w:pPr>
            <w:r w:rsidRPr="0085391B">
              <w:rPr>
                <w:rFonts w:asciiTheme="minorHAnsi" w:hAnsiTheme="minorHAnsi" w:cstheme="minorHAnsi"/>
                <w:color w:val="auto"/>
              </w:rPr>
              <w:t xml:space="preserve">£500 </w:t>
            </w:r>
          </w:p>
        </w:tc>
      </w:tr>
      <w:tr w:rsidR="004E10B5" w:rsidRPr="00326C32" w:rsidTr="004E10B5">
        <w:trPr>
          <w:trHeight w:hRule="exact" w:val="8287"/>
        </w:trPr>
        <w:tc>
          <w:tcPr>
            <w:tcW w:w="2235" w:type="dxa"/>
            <w:vMerge/>
            <w:tcMar>
              <w:top w:w="57" w:type="dxa"/>
              <w:bottom w:w="57" w:type="dxa"/>
            </w:tcMar>
          </w:tcPr>
          <w:p w:rsidR="004E10B5" w:rsidRPr="00F04564" w:rsidRDefault="004E10B5" w:rsidP="00AC76D0">
            <w:pPr>
              <w:rPr>
                <w:rFonts w:cs="Arial"/>
                <w:highlight w:val="yellow"/>
              </w:rPr>
            </w:pPr>
          </w:p>
        </w:tc>
        <w:tc>
          <w:tcPr>
            <w:tcW w:w="2443" w:type="dxa"/>
            <w:tcMar>
              <w:top w:w="57" w:type="dxa"/>
              <w:bottom w:w="57" w:type="dxa"/>
            </w:tcMar>
          </w:tcPr>
          <w:p w:rsidR="004E10B5" w:rsidRPr="0085391B" w:rsidRDefault="004E10B5" w:rsidP="00AC76D0">
            <w:pPr>
              <w:spacing w:after="0" w:line="240" w:lineRule="auto"/>
              <w:rPr>
                <w:rFonts w:asciiTheme="minorHAnsi" w:eastAsia="Calibri" w:hAnsiTheme="minorHAnsi" w:cstheme="minorHAnsi"/>
                <w:color w:val="000000" w:themeColor="text1"/>
              </w:rPr>
            </w:pPr>
            <w:r w:rsidRPr="0085391B">
              <w:rPr>
                <w:rFonts w:asciiTheme="minorHAnsi" w:eastAsia="Calibri" w:hAnsiTheme="minorHAnsi" w:cstheme="minorHAnsi"/>
                <w:color w:val="000000" w:themeColor="text1"/>
              </w:rPr>
              <w:t>Personalised Learning to address misconceptions, gaps and weaknesses.</w:t>
            </w:r>
          </w:p>
          <w:p w:rsidR="004E10B5" w:rsidRPr="0085391B" w:rsidRDefault="004E10B5" w:rsidP="00AC76D0">
            <w:pPr>
              <w:spacing w:after="0"/>
              <w:rPr>
                <w:rFonts w:asciiTheme="minorHAnsi" w:eastAsia="Calibri" w:hAnsiTheme="minorHAnsi" w:cstheme="minorHAnsi"/>
                <w:color w:val="000000" w:themeColor="text1"/>
              </w:rPr>
            </w:pPr>
          </w:p>
        </w:tc>
        <w:tc>
          <w:tcPr>
            <w:tcW w:w="552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Many PP children have received personalised learning to either consolidate, support or extend learning. </w:t>
            </w:r>
          </w:p>
          <w:p w:rsidR="004E10B5" w:rsidRPr="0085391B" w:rsidRDefault="004E10B5" w:rsidP="00AC76D0">
            <w:pPr>
              <w:rPr>
                <w:rFonts w:asciiTheme="minorHAnsi" w:hAnsiTheme="minorHAnsi" w:cstheme="minorHAnsi"/>
              </w:rPr>
            </w:pPr>
            <w:r w:rsidRPr="0085391B">
              <w:rPr>
                <w:rFonts w:asciiTheme="minorHAnsi" w:hAnsiTheme="minorHAnsi" w:cstheme="minorHAnsi"/>
              </w:rPr>
              <w:t>This is inclusive of:</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All PP children – children work 1:1 / 1:2 and receive same day intervention on any concepts and objectives they have struggled with. This is evident in books through purple polishing and </w:t>
            </w:r>
            <w:proofErr w:type="gramStart"/>
            <w:r w:rsidRPr="0085391B">
              <w:rPr>
                <w:rFonts w:asciiTheme="minorHAnsi" w:hAnsiTheme="minorHAnsi" w:cstheme="minorHAnsi"/>
              </w:rPr>
              <w:t>teachers</w:t>
            </w:r>
            <w:proofErr w:type="gramEnd"/>
            <w:r w:rsidRPr="0085391B">
              <w:rPr>
                <w:rFonts w:asciiTheme="minorHAnsi" w:hAnsiTheme="minorHAnsi" w:cstheme="minorHAnsi"/>
              </w:rPr>
              <w:t xml:space="preserve"> comments.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SEN PP pupils – these children have received regular 1:1 / 1:2 or small group interventions.  </w:t>
            </w:r>
            <w:r w:rsidRPr="0085391B">
              <w:rPr>
                <w:rFonts w:asciiTheme="minorHAnsi" w:hAnsiTheme="minorHAnsi" w:cstheme="minorHAnsi"/>
                <w:i/>
              </w:rPr>
              <w:t>*See SEN intervention progress analysis.</w:t>
            </w:r>
            <w:r w:rsidRPr="0085391B">
              <w:rPr>
                <w:rFonts w:asciiTheme="minorHAnsi" w:hAnsiTheme="minorHAnsi" w:cstheme="minorHAnsi"/>
              </w:rPr>
              <w:t xml:space="preserve">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More and most able PP pupils – Targeted objectives during lessons to extend learning. Additional support from teachers and teaching assistants to access challenging resources and problem solving activities. Planning and books demonstrate these successes. </w:t>
            </w:r>
          </w:p>
        </w:tc>
        <w:tc>
          <w:tcPr>
            <w:tcW w:w="4536"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Staff were quick to identify gaps in learning and move children forward in learning. Teachers and TA hold purposeful discussions about children’s next steps. </w:t>
            </w:r>
          </w:p>
          <w:p w:rsidR="004E10B5" w:rsidRPr="0085391B" w:rsidRDefault="004E10B5" w:rsidP="00AC76D0">
            <w:pPr>
              <w:spacing w:after="0"/>
              <w:rPr>
                <w:rFonts w:asciiTheme="minorHAnsi" w:hAnsiTheme="minorHAnsi" w:cstheme="minorHAnsi"/>
              </w:rPr>
            </w:pP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Maths hub resources </w:t>
            </w:r>
            <w:proofErr w:type="gramStart"/>
            <w:r w:rsidRPr="0085391B">
              <w:rPr>
                <w:rFonts w:asciiTheme="minorHAnsi" w:hAnsiTheme="minorHAnsi" w:cstheme="minorHAnsi"/>
              </w:rPr>
              <w:t>are used</w:t>
            </w:r>
            <w:proofErr w:type="gramEnd"/>
            <w:r w:rsidRPr="0085391B">
              <w:rPr>
                <w:rFonts w:asciiTheme="minorHAnsi" w:hAnsiTheme="minorHAnsi" w:cstheme="minorHAnsi"/>
              </w:rPr>
              <w:t xml:space="preserve"> effectively throughout school to challenge children and extend learning. </w:t>
            </w:r>
          </w:p>
          <w:p w:rsidR="004E10B5" w:rsidRPr="0085391B" w:rsidRDefault="004E10B5" w:rsidP="00AC76D0">
            <w:pPr>
              <w:spacing w:after="0"/>
              <w:rPr>
                <w:rFonts w:asciiTheme="minorHAnsi" w:hAnsiTheme="minorHAnsi" w:cstheme="minorHAnsi"/>
              </w:rPr>
            </w:pP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Effective assessments have demonstrated children’s learning and progression over time. </w:t>
            </w:r>
          </w:p>
          <w:p w:rsidR="004E10B5" w:rsidRPr="0085391B" w:rsidRDefault="004E10B5" w:rsidP="00AC76D0">
            <w:pPr>
              <w:spacing w:after="0"/>
              <w:rPr>
                <w:rFonts w:asciiTheme="minorHAnsi" w:hAnsiTheme="minorHAnsi" w:cstheme="minorHAnsi"/>
              </w:rPr>
            </w:pP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2017-2018 – Pupil premium mentor to </w:t>
            </w:r>
            <w:proofErr w:type="gramStart"/>
            <w:r w:rsidRPr="0085391B">
              <w:rPr>
                <w:rFonts w:asciiTheme="minorHAnsi" w:hAnsiTheme="minorHAnsi" w:cstheme="minorHAnsi"/>
              </w:rPr>
              <w:t>be allocated</w:t>
            </w:r>
            <w:proofErr w:type="gramEnd"/>
            <w:r w:rsidRPr="0085391B">
              <w:rPr>
                <w:rFonts w:asciiTheme="minorHAnsi" w:hAnsiTheme="minorHAnsi" w:cstheme="minorHAnsi"/>
              </w:rPr>
              <w:t xml:space="preserve"> to meet regularly with all PP children across school and complete personalised learning records. In </w:t>
            </w:r>
            <w:proofErr w:type="gramStart"/>
            <w:r w:rsidRPr="0085391B">
              <w:rPr>
                <w:rFonts w:asciiTheme="minorHAnsi" w:hAnsiTheme="minorHAnsi" w:cstheme="minorHAnsi"/>
              </w:rPr>
              <w:t>these</w:t>
            </w:r>
            <w:proofErr w:type="gramEnd"/>
            <w:r w:rsidRPr="0085391B">
              <w:rPr>
                <w:rFonts w:asciiTheme="minorHAnsi" w:hAnsiTheme="minorHAnsi" w:cstheme="minorHAnsi"/>
              </w:rPr>
              <w:t xml:space="preserve"> meeting children will discuss their own learning successes and identify their own next steps. They </w:t>
            </w:r>
            <w:proofErr w:type="gramStart"/>
            <w:r w:rsidRPr="0085391B">
              <w:rPr>
                <w:rFonts w:asciiTheme="minorHAnsi" w:hAnsiTheme="minorHAnsi" w:cstheme="minorHAnsi"/>
              </w:rPr>
              <w:t>will be asked</w:t>
            </w:r>
            <w:proofErr w:type="gramEnd"/>
            <w:r w:rsidRPr="0085391B">
              <w:rPr>
                <w:rFonts w:asciiTheme="minorHAnsi" w:hAnsiTheme="minorHAnsi" w:cstheme="minorHAnsi"/>
              </w:rPr>
              <w:t xml:space="preserve"> to identify any additional resources (books, ICT equipment/time/adult support) they may help them in reaching their targets. </w:t>
            </w:r>
          </w:p>
        </w:tc>
        <w:tc>
          <w:tcPr>
            <w:tcW w:w="1134" w:type="dxa"/>
          </w:tcPr>
          <w:p w:rsidR="004E10B5" w:rsidRPr="0085391B" w:rsidRDefault="004E10B5" w:rsidP="00AC76D0">
            <w:pPr>
              <w:rPr>
                <w:rFonts w:asciiTheme="minorHAnsi" w:hAnsiTheme="minorHAnsi" w:cstheme="minorHAnsi"/>
                <w:highlight w:val="yellow"/>
              </w:rPr>
            </w:pPr>
            <w:r w:rsidRPr="0085391B">
              <w:rPr>
                <w:rFonts w:asciiTheme="minorHAnsi" w:hAnsiTheme="minorHAnsi" w:cstheme="minorHAnsi"/>
              </w:rPr>
              <w:t>£500</w:t>
            </w:r>
          </w:p>
        </w:tc>
      </w:tr>
      <w:tr w:rsidR="004E10B5" w:rsidRPr="00326C32" w:rsidTr="004E10B5">
        <w:trPr>
          <w:trHeight w:hRule="exact" w:val="8712"/>
        </w:trPr>
        <w:tc>
          <w:tcPr>
            <w:tcW w:w="2235" w:type="dxa"/>
            <w:vMerge/>
            <w:tcMar>
              <w:top w:w="57" w:type="dxa"/>
              <w:bottom w:w="57" w:type="dxa"/>
            </w:tcMar>
          </w:tcPr>
          <w:p w:rsidR="004E10B5" w:rsidRPr="00F04564" w:rsidRDefault="004E10B5" w:rsidP="00AC76D0">
            <w:pPr>
              <w:rPr>
                <w:rFonts w:cs="Arial"/>
                <w:b/>
                <w:highlight w:val="yellow"/>
              </w:rPr>
            </w:pPr>
          </w:p>
        </w:tc>
        <w:tc>
          <w:tcPr>
            <w:tcW w:w="2443" w:type="dxa"/>
            <w:tcMar>
              <w:top w:w="57" w:type="dxa"/>
              <w:bottom w:w="57" w:type="dxa"/>
            </w:tcMar>
          </w:tcPr>
          <w:p w:rsidR="004E10B5" w:rsidRPr="0085391B" w:rsidRDefault="004E10B5" w:rsidP="00AC76D0">
            <w:pPr>
              <w:spacing w:after="0" w:line="240" w:lineRule="auto"/>
              <w:rPr>
                <w:rFonts w:asciiTheme="minorHAnsi" w:hAnsiTheme="minorHAnsi" w:cstheme="minorHAnsi"/>
                <w:color w:val="000000" w:themeColor="text1"/>
              </w:rPr>
            </w:pPr>
            <w:r w:rsidRPr="0085391B">
              <w:rPr>
                <w:rFonts w:asciiTheme="minorHAnsi" w:hAnsiTheme="minorHAnsi" w:cstheme="minorHAnsi"/>
                <w:color w:val="000000" w:themeColor="text1"/>
              </w:rPr>
              <w:t>Staff CPD on whole school initiatives</w:t>
            </w:r>
          </w:p>
          <w:p w:rsidR="004E10B5" w:rsidRPr="0085391B" w:rsidRDefault="004E10B5" w:rsidP="00AC76D0">
            <w:pPr>
              <w:spacing w:after="0"/>
              <w:rPr>
                <w:rFonts w:asciiTheme="minorHAnsi" w:eastAsia="Calibri" w:hAnsiTheme="minorHAnsi" w:cstheme="minorHAnsi"/>
                <w:color w:val="000000" w:themeColor="text1"/>
              </w:rPr>
            </w:pPr>
            <w:r w:rsidRPr="0085391B">
              <w:rPr>
                <w:rFonts w:asciiTheme="minorHAnsi" w:hAnsiTheme="minorHAnsi" w:cstheme="minorHAnsi"/>
                <w:color w:val="000000" w:themeColor="text1"/>
              </w:rPr>
              <w:t>Assessment and Learning CPD for SMT/Teaching staff/Teaching assistants</w:t>
            </w:r>
          </w:p>
        </w:tc>
        <w:tc>
          <w:tcPr>
            <w:tcW w:w="552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A comprehensive CPD programme </w:t>
            </w:r>
            <w:proofErr w:type="gramStart"/>
            <w:r w:rsidRPr="0085391B">
              <w:rPr>
                <w:rFonts w:asciiTheme="minorHAnsi" w:hAnsiTheme="minorHAnsi" w:cstheme="minorHAnsi"/>
              </w:rPr>
              <w:t>was delivered</w:t>
            </w:r>
            <w:proofErr w:type="gramEnd"/>
            <w:r w:rsidRPr="0085391B">
              <w:rPr>
                <w:rFonts w:asciiTheme="minorHAnsi" w:hAnsiTheme="minorHAnsi" w:cstheme="minorHAnsi"/>
              </w:rPr>
              <w:t xml:space="preserve"> throughout 2016-2017 for all staff. NQTs </w:t>
            </w:r>
            <w:proofErr w:type="gramStart"/>
            <w:r w:rsidRPr="0085391B">
              <w:rPr>
                <w:rFonts w:asciiTheme="minorHAnsi" w:hAnsiTheme="minorHAnsi" w:cstheme="minorHAnsi"/>
              </w:rPr>
              <w:t>were sufficiently supported and passed their initial teaching year</w:t>
            </w:r>
            <w:proofErr w:type="gramEnd"/>
            <w:r w:rsidRPr="0085391B">
              <w:rPr>
                <w:rFonts w:asciiTheme="minorHAnsi" w:hAnsiTheme="minorHAnsi" w:cstheme="minorHAnsi"/>
              </w:rPr>
              <w:t xml:space="preserve">.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Subject co-ordinators worked with teachers and support staff to demonstrate the use of differentiated resources in specific subjects. This led to the development of foundation stage assessments in Science and DT.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Assessments procedures continue to be tight and clearly show attainment and progress for all children. </w:t>
            </w:r>
          </w:p>
          <w:p w:rsidR="004E10B5" w:rsidRPr="0085391B" w:rsidRDefault="004E10B5" w:rsidP="00AC76D0">
            <w:pPr>
              <w:rPr>
                <w:rFonts w:asciiTheme="minorHAnsi" w:hAnsiTheme="minorHAnsi" w:cstheme="minorHAnsi"/>
              </w:rPr>
            </w:pPr>
            <w:proofErr w:type="gramStart"/>
            <w:r w:rsidRPr="0085391B">
              <w:rPr>
                <w:rFonts w:asciiTheme="minorHAnsi" w:hAnsiTheme="minorHAnsi" w:cstheme="minorHAnsi"/>
              </w:rPr>
              <w:t>Training on specific interventions was attended by TA’s</w:t>
            </w:r>
            <w:proofErr w:type="gramEnd"/>
            <w:r w:rsidRPr="0085391B">
              <w:rPr>
                <w:rFonts w:asciiTheme="minorHAnsi" w:hAnsiTheme="minorHAnsi" w:cstheme="minorHAnsi"/>
              </w:rPr>
              <w:t xml:space="preserve"> for SEND children. This included: </w:t>
            </w:r>
          </w:p>
          <w:p w:rsidR="004E10B5" w:rsidRPr="0085391B" w:rsidRDefault="004E10B5" w:rsidP="004E10B5">
            <w:pPr>
              <w:pStyle w:val="ListParagraph"/>
              <w:numPr>
                <w:ilvl w:val="0"/>
                <w:numId w:val="10"/>
              </w:numPr>
              <w:rPr>
                <w:rFonts w:asciiTheme="minorHAnsi" w:hAnsiTheme="minorHAnsi" w:cstheme="minorHAnsi"/>
              </w:rPr>
            </w:pPr>
            <w:r w:rsidRPr="0085391B">
              <w:rPr>
                <w:rFonts w:asciiTheme="minorHAnsi" w:hAnsiTheme="minorHAnsi" w:cstheme="minorHAnsi"/>
              </w:rPr>
              <w:t xml:space="preserve">Catch-up Training for all TA’s. </w:t>
            </w:r>
            <w:proofErr w:type="gramStart"/>
            <w:r w:rsidRPr="0085391B">
              <w:rPr>
                <w:rFonts w:asciiTheme="minorHAnsi" w:hAnsiTheme="minorHAnsi" w:cstheme="minorHAnsi"/>
              </w:rPr>
              <w:t>7</w:t>
            </w:r>
            <w:proofErr w:type="gramEnd"/>
            <w:r w:rsidRPr="0085391B">
              <w:rPr>
                <w:rFonts w:asciiTheme="minorHAnsi" w:hAnsiTheme="minorHAnsi" w:cstheme="minorHAnsi"/>
              </w:rPr>
              <w:t xml:space="preserve"> PP children in Y3 &amp; Y4 accessed the programme with 5 of these making accelerated progress. </w:t>
            </w:r>
          </w:p>
          <w:p w:rsidR="004E10B5" w:rsidRPr="0085391B" w:rsidRDefault="004E10B5" w:rsidP="004E10B5">
            <w:pPr>
              <w:pStyle w:val="ListParagraph"/>
              <w:numPr>
                <w:ilvl w:val="0"/>
                <w:numId w:val="10"/>
              </w:numPr>
              <w:rPr>
                <w:rFonts w:asciiTheme="minorHAnsi" w:hAnsiTheme="minorHAnsi" w:cstheme="minorHAnsi"/>
              </w:rPr>
            </w:pPr>
            <w:r w:rsidRPr="0085391B">
              <w:rPr>
                <w:rFonts w:asciiTheme="minorHAnsi" w:hAnsiTheme="minorHAnsi" w:cstheme="minorHAnsi"/>
              </w:rPr>
              <w:t xml:space="preserve">Clicker 7 training for some </w:t>
            </w:r>
            <w:proofErr w:type="gramStart"/>
            <w:r w:rsidRPr="0085391B">
              <w:rPr>
                <w:rFonts w:asciiTheme="minorHAnsi" w:hAnsiTheme="minorHAnsi" w:cstheme="minorHAnsi"/>
              </w:rPr>
              <w:t>TA’s</w:t>
            </w:r>
            <w:proofErr w:type="gramEnd"/>
            <w:r w:rsidRPr="0085391B">
              <w:rPr>
                <w:rFonts w:asciiTheme="minorHAnsi" w:hAnsiTheme="minorHAnsi" w:cstheme="minorHAnsi"/>
              </w:rPr>
              <w:t xml:space="preserve"> across the Key Stages. Access by </w:t>
            </w:r>
            <w:proofErr w:type="gramStart"/>
            <w:r w:rsidRPr="0085391B">
              <w:rPr>
                <w:rFonts w:asciiTheme="minorHAnsi" w:hAnsiTheme="minorHAnsi" w:cstheme="minorHAnsi"/>
              </w:rPr>
              <w:t>4</w:t>
            </w:r>
            <w:proofErr w:type="gramEnd"/>
            <w:r w:rsidRPr="0085391B">
              <w:rPr>
                <w:rFonts w:asciiTheme="minorHAnsi" w:hAnsiTheme="minorHAnsi" w:cstheme="minorHAnsi"/>
              </w:rPr>
              <w:t xml:space="preserve"> PP children who have additional support from LSS.</w:t>
            </w:r>
          </w:p>
          <w:p w:rsidR="004E10B5" w:rsidRPr="0085391B" w:rsidRDefault="004E10B5" w:rsidP="004E10B5">
            <w:pPr>
              <w:pStyle w:val="ListParagraph"/>
              <w:numPr>
                <w:ilvl w:val="0"/>
                <w:numId w:val="10"/>
              </w:numPr>
              <w:rPr>
                <w:rFonts w:asciiTheme="minorHAnsi" w:hAnsiTheme="minorHAnsi" w:cstheme="minorHAnsi"/>
              </w:rPr>
            </w:pPr>
            <w:r w:rsidRPr="0085391B">
              <w:rPr>
                <w:rFonts w:asciiTheme="minorHAnsi" w:hAnsiTheme="minorHAnsi" w:cstheme="minorHAnsi"/>
              </w:rPr>
              <w:t xml:space="preserve">LEGO Therapy intervention in place for children with social communication difficulties. Accessed by </w:t>
            </w:r>
            <w:proofErr w:type="gramStart"/>
            <w:r w:rsidRPr="0085391B">
              <w:rPr>
                <w:rFonts w:asciiTheme="minorHAnsi" w:hAnsiTheme="minorHAnsi" w:cstheme="minorHAnsi"/>
              </w:rPr>
              <w:t>2</w:t>
            </w:r>
            <w:proofErr w:type="gramEnd"/>
            <w:r w:rsidRPr="0085391B">
              <w:rPr>
                <w:rFonts w:asciiTheme="minorHAnsi" w:hAnsiTheme="minorHAnsi" w:cstheme="minorHAnsi"/>
              </w:rPr>
              <w:t xml:space="preserve"> PP children. </w:t>
            </w:r>
            <w:proofErr w:type="gramStart"/>
            <w:r w:rsidRPr="0085391B">
              <w:rPr>
                <w:rFonts w:asciiTheme="minorHAnsi" w:hAnsiTheme="minorHAnsi" w:cstheme="minorHAnsi"/>
              </w:rPr>
              <w:t>1</w:t>
            </w:r>
            <w:proofErr w:type="gramEnd"/>
            <w:r w:rsidRPr="0085391B">
              <w:rPr>
                <w:rFonts w:asciiTheme="minorHAnsi" w:hAnsiTheme="minorHAnsi" w:cstheme="minorHAnsi"/>
              </w:rPr>
              <w:t xml:space="preserve"> of whom has made accelerated progress.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   </w:t>
            </w:r>
          </w:p>
        </w:tc>
        <w:tc>
          <w:tcPr>
            <w:tcW w:w="4536" w:type="dxa"/>
            <w:tcMar>
              <w:top w:w="57" w:type="dxa"/>
              <w:bottom w:w="57" w:type="dxa"/>
            </w:tcMar>
          </w:tcPr>
          <w:p w:rsidR="004E10B5" w:rsidRPr="0085391B" w:rsidRDefault="004E10B5" w:rsidP="00AC76D0">
            <w:pPr>
              <w:tabs>
                <w:tab w:val="left" w:pos="2992"/>
              </w:tabs>
              <w:rPr>
                <w:rFonts w:asciiTheme="minorHAnsi" w:hAnsiTheme="minorHAnsi" w:cstheme="minorHAnsi"/>
              </w:rPr>
            </w:pPr>
            <w:r w:rsidRPr="0085391B">
              <w:rPr>
                <w:rFonts w:asciiTheme="minorHAnsi" w:hAnsiTheme="minorHAnsi" w:cstheme="minorHAnsi"/>
              </w:rPr>
              <w:t xml:space="preserve">In 2017-2018 all subject co-ordinators will have assessments in place to demonstrate the percentage of children working at, towards and exceeding the curriculum for their year group. This is currently in place for all core subjects, science and DT. </w:t>
            </w:r>
          </w:p>
          <w:p w:rsidR="004E10B5" w:rsidRPr="0085391B" w:rsidRDefault="004E10B5" w:rsidP="00AC76D0">
            <w:pPr>
              <w:tabs>
                <w:tab w:val="left" w:pos="2992"/>
              </w:tabs>
              <w:rPr>
                <w:rFonts w:asciiTheme="minorHAnsi" w:hAnsiTheme="minorHAnsi" w:cstheme="minorHAnsi"/>
              </w:rPr>
            </w:pPr>
            <w:r w:rsidRPr="0085391B">
              <w:rPr>
                <w:rFonts w:asciiTheme="minorHAnsi" w:hAnsiTheme="minorHAnsi" w:cstheme="minorHAnsi"/>
              </w:rPr>
              <w:t xml:space="preserve">The current assessment procedures will continue. Pupil progress meetings will monitor and track progression. </w:t>
            </w:r>
          </w:p>
          <w:p w:rsidR="004E10B5" w:rsidRPr="0085391B" w:rsidRDefault="004E10B5" w:rsidP="00AC76D0">
            <w:pPr>
              <w:tabs>
                <w:tab w:val="left" w:pos="2992"/>
              </w:tabs>
              <w:rPr>
                <w:rFonts w:asciiTheme="minorHAnsi" w:hAnsiTheme="minorHAnsi" w:cstheme="minorHAnsi"/>
              </w:rPr>
            </w:pPr>
            <w:r w:rsidRPr="0085391B">
              <w:rPr>
                <w:rFonts w:asciiTheme="minorHAnsi" w:hAnsiTheme="minorHAnsi" w:cstheme="minorHAnsi"/>
              </w:rPr>
              <w:t xml:space="preserve">New interventions will continue in 2017-2018. </w:t>
            </w:r>
          </w:p>
          <w:p w:rsidR="004E10B5" w:rsidRPr="0085391B" w:rsidRDefault="004E10B5" w:rsidP="00AC76D0">
            <w:pPr>
              <w:tabs>
                <w:tab w:val="left" w:pos="2992"/>
              </w:tabs>
              <w:rPr>
                <w:rFonts w:asciiTheme="minorHAnsi" w:hAnsiTheme="minorHAnsi" w:cstheme="minorHAnsi"/>
              </w:rPr>
            </w:pPr>
          </w:p>
          <w:p w:rsidR="004E10B5" w:rsidRPr="0085391B" w:rsidRDefault="004E10B5" w:rsidP="00AC76D0">
            <w:pPr>
              <w:tabs>
                <w:tab w:val="left" w:pos="2992"/>
              </w:tabs>
              <w:rPr>
                <w:rFonts w:asciiTheme="minorHAnsi" w:hAnsiTheme="minorHAnsi" w:cstheme="minorHAnsi"/>
              </w:rPr>
            </w:pPr>
          </w:p>
        </w:tc>
        <w:tc>
          <w:tcPr>
            <w:tcW w:w="1134" w:type="dxa"/>
          </w:tcPr>
          <w:p w:rsidR="004E10B5" w:rsidRPr="0085391B" w:rsidRDefault="004E10B5" w:rsidP="00AC76D0">
            <w:pPr>
              <w:spacing w:after="0"/>
              <w:rPr>
                <w:rFonts w:asciiTheme="minorHAnsi" w:hAnsiTheme="minorHAnsi" w:cstheme="minorHAnsi"/>
                <w:highlight w:val="yellow"/>
              </w:rPr>
            </w:pPr>
            <w:r w:rsidRPr="0085391B">
              <w:rPr>
                <w:rFonts w:asciiTheme="minorHAnsi" w:hAnsiTheme="minorHAnsi" w:cstheme="minorHAnsi"/>
              </w:rPr>
              <w:t>£1,701</w:t>
            </w:r>
          </w:p>
        </w:tc>
      </w:tr>
    </w:tbl>
    <w:p w:rsidR="004E10B5" w:rsidRDefault="004E10B5" w:rsidP="004E10B5"/>
    <w:tbl>
      <w:tblPr>
        <w:tblStyle w:val="TableGrid"/>
        <w:tblW w:w="15559" w:type="dxa"/>
        <w:tblInd w:w="279" w:type="dxa"/>
        <w:tblLayout w:type="fixed"/>
        <w:tblLook w:val="04A0" w:firstRow="1" w:lastRow="0" w:firstColumn="1" w:lastColumn="0" w:noHBand="0" w:noVBand="1"/>
      </w:tblPr>
      <w:tblGrid>
        <w:gridCol w:w="2235"/>
        <w:gridCol w:w="1984"/>
        <w:gridCol w:w="4678"/>
        <w:gridCol w:w="5528"/>
        <w:gridCol w:w="1134"/>
      </w:tblGrid>
      <w:tr w:rsidR="004E10B5" w:rsidRPr="00326C32" w:rsidTr="004E10B5">
        <w:trPr>
          <w:trHeight w:hRule="exact" w:val="340"/>
        </w:trPr>
        <w:tc>
          <w:tcPr>
            <w:tcW w:w="15559" w:type="dxa"/>
            <w:gridSpan w:val="5"/>
            <w:tcMar>
              <w:top w:w="57" w:type="dxa"/>
              <w:bottom w:w="57" w:type="dxa"/>
            </w:tcMar>
          </w:tcPr>
          <w:p w:rsidR="004E10B5" w:rsidRPr="00326C32" w:rsidRDefault="004E10B5" w:rsidP="004E10B5">
            <w:pPr>
              <w:pStyle w:val="ListParagraph"/>
              <w:numPr>
                <w:ilvl w:val="0"/>
                <w:numId w:val="2"/>
              </w:numPr>
              <w:spacing w:after="0" w:line="240" w:lineRule="auto"/>
              <w:ind w:left="426" w:hanging="142"/>
              <w:contextualSpacing w:val="0"/>
              <w:rPr>
                <w:rFonts w:cs="Arial"/>
                <w:b/>
              </w:rPr>
            </w:pPr>
            <w:r w:rsidRPr="00326C32">
              <w:rPr>
                <w:rFonts w:cs="Arial"/>
                <w:b/>
              </w:rPr>
              <w:t>Targeted support</w:t>
            </w:r>
          </w:p>
        </w:tc>
      </w:tr>
      <w:tr w:rsidR="004E10B5" w:rsidRPr="00326C32" w:rsidTr="004E10B5">
        <w:trPr>
          <w:trHeight w:hRule="exact" w:val="1220"/>
        </w:trPr>
        <w:tc>
          <w:tcPr>
            <w:tcW w:w="2235" w:type="dxa"/>
            <w:tcMar>
              <w:top w:w="57" w:type="dxa"/>
              <w:bottom w:w="57" w:type="dxa"/>
            </w:tcMar>
          </w:tcPr>
          <w:p w:rsidR="004E10B5" w:rsidRPr="00326C32" w:rsidRDefault="004E10B5" w:rsidP="00AC76D0">
            <w:pPr>
              <w:rPr>
                <w:rFonts w:cs="Arial"/>
                <w:b/>
              </w:rPr>
            </w:pPr>
            <w:r w:rsidRPr="00326C32">
              <w:rPr>
                <w:rFonts w:cs="Arial"/>
                <w:b/>
              </w:rPr>
              <w:t>Desired outcome</w:t>
            </w:r>
          </w:p>
        </w:tc>
        <w:tc>
          <w:tcPr>
            <w:tcW w:w="1984" w:type="dxa"/>
            <w:tcMar>
              <w:top w:w="57" w:type="dxa"/>
              <w:bottom w:w="57" w:type="dxa"/>
            </w:tcMar>
          </w:tcPr>
          <w:p w:rsidR="004E10B5" w:rsidRPr="00326C32" w:rsidRDefault="004E10B5" w:rsidP="00AC76D0">
            <w:pPr>
              <w:rPr>
                <w:rFonts w:cs="Arial"/>
                <w:b/>
              </w:rPr>
            </w:pPr>
            <w:r w:rsidRPr="00326C32">
              <w:rPr>
                <w:rFonts w:cs="Arial"/>
                <w:b/>
              </w:rPr>
              <w:t>Chosen action / approach</w:t>
            </w:r>
          </w:p>
        </w:tc>
        <w:tc>
          <w:tcPr>
            <w:tcW w:w="4678" w:type="dxa"/>
            <w:tcMar>
              <w:top w:w="57" w:type="dxa"/>
              <w:bottom w:w="57" w:type="dxa"/>
            </w:tcMar>
          </w:tcPr>
          <w:p w:rsidR="004E10B5" w:rsidRPr="00326C32" w:rsidRDefault="004E10B5" w:rsidP="00AC76D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4E10B5" w:rsidRPr="00326C32" w:rsidRDefault="004E10B5" w:rsidP="00AC76D0">
            <w:pPr>
              <w:spacing w:after="0"/>
              <w:rPr>
                <w:rFonts w:cs="Arial"/>
                <w:b/>
              </w:rPr>
            </w:pPr>
            <w:r w:rsidRPr="00326C32">
              <w:rPr>
                <w:rFonts w:cs="Arial"/>
                <w:b/>
              </w:rPr>
              <w:t xml:space="preserve">Lessons learned </w:t>
            </w:r>
          </w:p>
          <w:p w:rsidR="004E10B5" w:rsidRPr="00326C32" w:rsidRDefault="004E10B5" w:rsidP="00AC76D0">
            <w:pPr>
              <w:rPr>
                <w:rFonts w:cs="Arial"/>
                <w:b/>
              </w:rPr>
            </w:pPr>
            <w:r w:rsidRPr="00326C32">
              <w:rPr>
                <w:rFonts w:cs="Arial"/>
              </w:rPr>
              <w:t>(and whether you will continue with this approach)</w:t>
            </w:r>
          </w:p>
        </w:tc>
        <w:tc>
          <w:tcPr>
            <w:tcW w:w="1134" w:type="dxa"/>
          </w:tcPr>
          <w:p w:rsidR="004E10B5" w:rsidRPr="00326C32" w:rsidRDefault="004E10B5" w:rsidP="00AC76D0">
            <w:pPr>
              <w:rPr>
                <w:rFonts w:cs="Arial"/>
                <w:b/>
              </w:rPr>
            </w:pPr>
            <w:r w:rsidRPr="00326C32">
              <w:rPr>
                <w:rFonts w:cs="Arial"/>
                <w:b/>
              </w:rPr>
              <w:t>Cost</w:t>
            </w:r>
          </w:p>
        </w:tc>
      </w:tr>
      <w:tr w:rsidR="004E10B5" w:rsidRPr="00326C32" w:rsidTr="004E10B5">
        <w:trPr>
          <w:trHeight w:hRule="exact" w:val="7011"/>
        </w:trPr>
        <w:tc>
          <w:tcPr>
            <w:tcW w:w="2235" w:type="dxa"/>
            <w:vMerge w:val="restart"/>
            <w:tcMar>
              <w:top w:w="57" w:type="dxa"/>
              <w:bottom w:w="57" w:type="dxa"/>
            </w:tcMar>
          </w:tcPr>
          <w:p w:rsidR="004E10B5" w:rsidRPr="0085391B" w:rsidRDefault="004E10B5" w:rsidP="004E10B5">
            <w:pPr>
              <w:pStyle w:val="ListParagraph"/>
              <w:numPr>
                <w:ilvl w:val="0"/>
                <w:numId w:val="9"/>
              </w:numPr>
              <w:spacing w:after="0"/>
              <w:ind w:left="25" w:firstLine="0"/>
              <w:rPr>
                <w:rFonts w:asciiTheme="minorHAnsi" w:hAnsiTheme="minorHAnsi" w:cstheme="minorHAnsi"/>
                <w:color w:val="auto"/>
              </w:rPr>
            </w:pPr>
            <w:r w:rsidRPr="0085391B">
              <w:rPr>
                <w:rFonts w:asciiTheme="minorHAnsi" w:hAnsiTheme="minorHAnsi" w:cstheme="minorHAnsi"/>
                <w:color w:val="auto"/>
              </w:rPr>
              <w:lastRenderedPageBreak/>
              <w:t xml:space="preserve">School, specifically the leadership team, continues to support children and families on the safeguarding continuum of need. This is a high priority in school.  </w:t>
            </w:r>
          </w:p>
          <w:p w:rsidR="004E10B5" w:rsidRPr="0085391B" w:rsidRDefault="004E10B5" w:rsidP="00AC76D0">
            <w:pPr>
              <w:spacing w:after="0"/>
              <w:rPr>
                <w:rFonts w:asciiTheme="minorHAnsi" w:hAnsiTheme="minorHAnsi" w:cstheme="minorHAnsi"/>
                <w:color w:val="auto"/>
              </w:rPr>
            </w:pPr>
          </w:p>
          <w:p w:rsidR="004E10B5" w:rsidRPr="0085391B" w:rsidRDefault="004E10B5" w:rsidP="00AC76D0">
            <w:pPr>
              <w:spacing w:after="0"/>
              <w:rPr>
                <w:rFonts w:asciiTheme="minorHAnsi" w:hAnsiTheme="minorHAnsi" w:cstheme="minorHAnsi"/>
                <w:color w:val="auto"/>
              </w:rPr>
            </w:pPr>
          </w:p>
          <w:p w:rsidR="004E10B5" w:rsidRPr="0085391B" w:rsidRDefault="004E10B5" w:rsidP="00AC76D0">
            <w:pPr>
              <w:rPr>
                <w:rFonts w:asciiTheme="minorHAnsi" w:hAnsiTheme="minorHAnsi" w:cstheme="minorHAnsi"/>
                <w:color w:val="auto"/>
              </w:rPr>
            </w:pPr>
            <w:r w:rsidRPr="0085391B">
              <w:rPr>
                <w:rFonts w:asciiTheme="minorHAnsi" w:hAnsiTheme="minorHAnsi" w:cstheme="minorHAnsi"/>
                <w:color w:val="auto"/>
              </w:rPr>
              <w:t>D. Higher     proportions of more able children achieving greater depth outcomes.</w:t>
            </w:r>
          </w:p>
        </w:tc>
        <w:tc>
          <w:tcPr>
            <w:tcW w:w="1984" w:type="dxa"/>
            <w:tcMar>
              <w:top w:w="57" w:type="dxa"/>
              <w:bottom w:w="57" w:type="dxa"/>
            </w:tcMar>
          </w:tcPr>
          <w:p w:rsidR="004E10B5" w:rsidRPr="0085391B" w:rsidRDefault="004E10B5" w:rsidP="00AC76D0">
            <w:pPr>
              <w:spacing w:after="0" w:line="240" w:lineRule="auto"/>
              <w:rPr>
                <w:rFonts w:asciiTheme="minorHAnsi" w:eastAsia="Calibri" w:hAnsiTheme="minorHAnsi" w:cstheme="minorHAnsi"/>
                <w:i/>
                <w:color w:val="auto"/>
              </w:rPr>
            </w:pPr>
            <w:proofErr w:type="spellStart"/>
            <w:r w:rsidRPr="0085391B">
              <w:rPr>
                <w:rFonts w:asciiTheme="minorHAnsi" w:eastAsia="Calibri" w:hAnsiTheme="minorHAnsi" w:cstheme="minorHAnsi"/>
                <w:color w:val="auto"/>
              </w:rPr>
              <w:t>Mathletics</w:t>
            </w:r>
            <w:proofErr w:type="spellEnd"/>
            <w:r w:rsidRPr="0085391B">
              <w:rPr>
                <w:rFonts w:asciiTheme="minorHAnsi" w:eastAsia="Calibri" w:hAnsiTheme="minorHAnsi" w:cstheme="minorHAnsi"/>
                <w:color w:val="auto"/>
              </w:rPr>
              <w:t xml:space="preserve"> Club - Online maths support and challenge programme.  </w:t>
            </w:r>
          </w:p>
          <w:p w:rsidR="004E10B5" w:rsidRPr="0085391B" w:rsidRDefault="004E10B5" w:rsidP="00AC76D0">
            <w:pPr>
              <w:spacing w:after="0" w:line="240" w:lineRule="auto"/>
              <w:rPr>
                <w:rFonts w:asciiTheme="minorHAnsi" w:eastAsia="Calibri" w:hAnsiTheme="minorHAnsi" w:cstheme="minorHAnsi"/>
                <w:color w:val="auto"/>
                <w:highlight w:val="yellow"/>
              </w:rPr>
            </w:pPr>
          </w:p>
          <w:p w:rsidR="004E10B5" w:rsidRPr="0085391B" w:rsidRDefault="004E10B5" w:rsidP="00AC76D0">
            <w:pPr>
              <w:spacing w:after="0"/>
              <w:rPr>
                <w:rFonts w:asciiTheme="minorHAnsi" w:hAnsiTheme="minorHAnsi" w:cstheme="minorHAnsi"/>
                <w:color w:val="auto"/>
              </w:rPr>
            </w:pPr>
          </w:p>
        </w:tc>
        <w:tc>
          <w:tcPr>
            <w:tcW w:w="4678" w:type="dxa"/>
            <w:tcMar>
              <w:top w:w="57" w:type="dxa"/>
              <w:bottom w:w="57" w:type="dxa"/>
            </w:tcMar>
          </w:tcPr>
          <w:p w:rsidR="004E10B5" w:rsidRPr="0085391B" w:rsidRDefault="004E10B5" w:rsidP="00AC76D0">
            <w:pPr>
              <w:spacing w:after="0" w:line="240" w:lineRule="auto"/>
              <w:rPr>
                <w:rFonts w:asciiTheme="minorHAnsi" w:eastAsia="Calibri" w:hAnsiTheme="minorHAnsi" w:cstheme="minorHAnsi"/>
                <w:color w:val="auto"/>
              </w:rPr>
            </w:pPr>
            <w:r w:rsidRPr="0085391B">
              <w:rPr>
                <w:rFonts w:asciiTheme="minorHAnsi" w:eastAsia="Calibri" w:hAnsiTheme="minorHAnsi" w:cstheme="minorHAnsi"/>
                <w:color w:val="auto"/>
              </w:rPr>
              <w:t xml:space="preserve">This intervention ran for only the Autumn Term due to the poor attendance. 15 children </w:t>
            </w:r>
            <w:proofErr w:type="gramStart"/>
            <w:r w:rsidRPr="0085391B">
              <w:rPr>
                <w:rFonts w:asciiTheme="minorHAnsi" w:eastAsia="Calibri" w:hAnsiTheme="minorHAnsi" w:cstheme="minorHAnsi"/>
                <w:color w:val="auto"/>
              </w:rPr>
              <w:t>were invited</w:t>
            </w:r>
            <w:proofErr w:type="gramEnd"/>
            <w:r w:rsidRPr="0085391B">
              <w:rPr>
                <w:rFonts w:asciiTheme="minorHAnsi" w:eastAsia="Calibri" w:hAnsiTheme="minorHAnsi" w:cstheme="minorHAnsi"/>
                <w:color w:val="auto"/>
              </w:rPr>
              <w:t xml:space="preserve"> to attend and only 2 did regularly. The DHT consulted with governors who can to observe the session </w:t>
            </w:r>
            <w:proofErr w:type="gramStart"/>
            <w:r w:rsidRPr="0085391B">
              <w:rPr>
                <w:rFonts w:asciiTheme="minorHAnsi" w:eastAsia="Calibri" w:hAnsiTheme="minorHAnsi" w:cstheme="minorHAnsi"/>
                <w:color w:val="auto"/>
              </w:rPr>
              <w:t>being delivered</w:t>
            </w:r>
            <w:proofErr w:type="gramEnd"/>
            <w:r w:rsidRPr="0085391B">
              <w:rPr>
                <w:rFonts w:asciiTheme="minorHAnsi" w:eastAsia="Calibri" w:hAnsiTheme="minorHAnsi" w:cstheme="minorHAnsi"/>
                <w:color w:val="auto"/>
              </w:rPr>
              <w:t xml:space="preserve">. We discussed attendance </w:t>
            </w:r>
            <w:proofErr w:type="gramStart"/>
            <w:r w:rsidRPr="0085391B">
              <w:rPr>
                <w:rFonts w:asciiTheme="minorHAnsi" w:eastAsia="Calibri" w:hAnsiTheme="minorHAnsi" w:cstheme="minorHAnsi"/>
                <w:color w:val="auto"/>
              </w:rPr>
              <w:t>incentives which</w:t>
            </w:r>
            <w:proofErr w:type="gramEnd"/>
            <w:r w:rsidRPr="0085391B">
              <w:rPr>
                <w:rFonts w:asciiTheme="minorHAnsi" w:eastAsia="Calibri" w:hAnsiTheme="minorHAnsi" w:cstheme="minorHAnsi"/>
                <w:color w:val="auto"/>
              </w:rPr>
              <w:t xml:space="preserve"> were put into place early September. This did not increase attendance and the funding </w:t>
            </w:r>
            <w:proofErr w:type="gramStart"/>
            <w:r w:rsidRPr="0085391B">
              <w:rPr>
                <w:rFonts w:asciiTheme="minorHAnsi" w:eastAsia="Calibri" w:hAnsiTheme="minorHAnsi" w:cstheme="minorHAnsi"/>
                <w:color w:val="auto"/>
              </w:rPr>
              <w:t>was used</w:t>
            </w:r>
            <w:proofErr w:type="gramEnd"/>
            <w:r w:rsidRPr="0085391B">
              <w:rPr>
                <w:rFonts w:asciiTheme="minorHAnsi" w:eastAsia="Calibri" w:hAnsiTheme="minorHAnsi" w:cstheme="minorHAnsi"/>
                <w:color w:val="auto"/>
              </w:rPr>
              <w:t xml:space="preserve"> to support 1:2 tuition in the Y3 &amp; Y4 class.  </w:t>
            </w:r>
          </w:p>
          <w:p w:rsidR="004E10B5" w:rsidRPr="0085391B" w:rsidRDefault="004E10B5" w:rsidP="00AC76D0">
            <w:pPr>
              <w:spacing w:after="0" w:line="240" w:lineRule="auto"/>
              <w:rPr>
                <w:rFonts w:asciiTheme="minorHAnsi" w:eastAsia="Calibri" w:hAnsiTheme="minorHAnsi" w:cstheme="minorHAnsi"/>
                <w:color w:val="auto"/>
              </w:rPr>
            </w:pPr>
          </w:p>
          <w:p w:rsidR="004E10B5" w:rsidRPr="0085391B" w:rsidRDefault="004E10B5" w:rsidP="00AC76D0">
            <w:pPr>
              <w:spacing w:after="0" w:line="240" w:lineRule="auto"/>
              <w:rPr>
                <w:rFonts w:asciiTheme="minorHAnsi" w:eastAsia="Calibri" w:hAnsiTheme="minorHAnsi" w:cstheme="minorHAnsi"/>
                <w:color w:val="auto"/>
              </w:rPr>
            </w:pPr>
            <w:r w:rsidRPr="0085391B">
              <w:rPr>
                <w:rFonts w:asciiTheme="minorHAnsi" w:eastAsia="Calibri" w:hAnsiTheme="minorHAnsi" w:cstheme="minorHAnsi"/>
                <w:color w:val="auto"/>
              </w:rPr>
              <w:t xml:space="preserve">2016-2017.Numbers of Pupil Premium children working below national expectations in mathematics: </w:t>
            </w:r>
          </w:p>
          <w:p w:rsidR="004E10B5" w:rsidRPr="0085391B" w:rsidRDefault="004E10B5" w:rsidP="00AC76D0">
            <w:pPr>
              <w:spacing w:after="0" w:line="240" w:lineRule="auto"/>
              <w:rPr>
                <w:rFonts w:asciiTheme="minorHAnsi" w:eastAsia="Calibri" w:hAnsiTheme="minorHAnsi" w:cstheme="minorHAnsi"/>
                <w:color w:val="auto"/>
              </w:rPr>
            </w:pPr>
            <w:r w:rsidRPr="0085391B">
              <w:rPr>
                <w:rFonts w:asciiTheme="minorHAnsi" w:eastAsia="Calibri" w:hAnsiTheme="minorHAnsi" w:cstheme="minorHAnsi"/>
                <w:color w:val="auto"/>
              </w:rPr>
              <w:t xml:space="preserve">Y6 – 3, Y5 – 2, Y4 – 2, Y3 – 4, Y2 – 2, Y1 – 2 </w:t>
            </w:r>
          </w:p>
          <w:p w:rsidR="004E10B5" w:rsidRPr="0085391B" w:rsidRDefault="004E10B5" w:rsidP="00AC76D0">
            <w:pPr>
              <w:rPr>
                <w:rFonts w:asciiTheme="minorHAnsi" w:hAnsiTheme="minorHAnsi" w:cstheme="minorHAnsi"/>
                <w:color w:val="auto"/>
              </w:rPr>
            </w:pPr>
          </w:p>
        </w:tc>
        <w:tc>
          <w:tcPr>
            <w:tcW w:w="5528" w:type="dxa"/>
            <w:tcMar>
              <w:top w:w="57" w:type="dxa"/>
              <w:bottom w:w="57" w:type="dxa"/>
            </w:tcMar>
          </w:tcPr>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 xml:space="preserve">The </w:t>
            </w:r>
            <w:proofErr w:type="spellStart"/>
            <w:r w:rsidRPr="0085391B">
              <w:rPr>
                <w:rFonts w:asciiTheme="minorHAnsi" w:hAnsiTheme="minorHAnsi" w:cstheme="minorHAnsi"/>
                <w:color w:val="auto"/>
              </w:rPr>
              <w:t>mathletics</w:t>
            </w:r>
            <w:proofErr w:type="spellEnd"/>
            <w:r w:rsidRPr="0085391B">
              <w:rPr>
                <w:rFonts w:asciiTheme="minorHAnsi" w:hAnsiTheme="minorHAnsi" w:cstheme="minorHAnsi"/>
                <w:color w:val="auto"/>
              </w:rPr>
              <w:t xml:space="preserve"> website </w:t>
            </w:r>
            <w:proofErr w:type="gramStart"/>
            <w:r w:rsidRPr="0085391B">
              <w:rPr>
                <w:rFonts w:asciiTheme="minorHAnsi" w:hAnsiTheme="minorHAnsi" w:cstheme="minorHAnsi"/>
                <w:color w:val="auto"/>
              </w:rPr>
              <w:t>is no longer used</w:t>
            </w:r>
            <w:proofErr w:type="gramEnd"/>
            <w:r w:rsidRPr="0085391B">
              <w:rPr>
                <w:rFonts w:asciiTheme="minorHAnsi" w:hAnsiTheme="minorHAnsi" w:cstheme="minorHAnsi"/>
                <w:color w:val="auto"/>
              </w:rPr>
              <w:t xml:space="preserve"> in school. After consultation with children and families it was felt </w:t>
            </w:r>
            <w:proofErr w:type="gramStart"/>
            <w:r w:rsidRPr="0085391B">
              <w:rPr>
                <w:rFonts w:asciiTheme="minorHAnsi" w:hAnsiTheme="minorHAnsi" w:cstheme="minorHAnsi"/>
                <w:color w:val="auto"/>
              </w:rPr>
              <w:t>that</w:t>
            </w:r>
            <w:proofErr w:type="gramEnd"/>
            <w:r w:rsidRPr="0085391B">
              <w:rPr>
                <w:rFonts w:asciiTheme="minorHAnsi" w:hAnsiTheme="minorHAnsi" w:cstheme="minorHAnsi"/>
                <w:color w:val="auto"/>
              </w:rPr>
              <w:t xml:space="preserve"> the initiative had been in place for a few years and the novelty had worn off with lots of children. Funding to </w:t>
            </w:r>
            <w:proofErr w:type="gramStart"/>
            <w:r w:rsidRPr="0085391B">
              <w:rPr>
                <w:rFonts w:asciiTheme="minorHAnsi" w:hAnsiTheme="minorHAnsi" w:cstheme="minorHAnsi"/>
                <w:color w:val="auto"/>
              </w:rPr>
              <w:t>be used</w:t>
            </w:r>
            <w:proofErr w:type="gramEnd"/>
            <w:r w:rsidRPr="0085391B">
              <w:rPr>
                <w:rFonts w:asciiTheme="minorHAnsi" w:hAnsiTheme="minorHAnsi" w:cstheme="minorHAnsi"/>
                <w:color w:val="auto"/>
              </w:rPr>
              <w:t xml:space="preserve"> elsewhere. </w:t>
            </w:r>
          </w:p>
          <w:p w:rsidR="004E10B5" w:rsidRPr="0085391B" w:rsidRDefault="004E10B5" w:rsidP="00AC76D0">
            <w:pPr>
              <w:spacing w:after="0"/>
              <w:rPr>
                <w:rFonts w:asciiTheme="minorHAnsi" w:hAnsiTheme="minorHAnsi" w:cstheme="minorHAnsi"/>
                <w:color w:val="auto"/>
                <w:lang w:val="en"/>
              </w:rPr>
            </w:pPr>
          </w:p>
          <w:p w:rsidR="004E10B5" w:rsidRPr="0085391B" w:rsidRDefault="004E10B5" w:rsidP="00AC76D0">
            <w:pPr>
              <w:spacing w:after="0"/>
              <w:rPr>
                <w:rFonts w:asciiTheme="minorHAnsi" w:hAnsiTheme="minorHAnsi" w:cstheme="minorHAnsi"/>
                <w:color w:val="auto"/>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£1,500</w:t>
            </w:r>
          </w:p>
        </w:tc>
      </w:tr>
      <w:tr w:rsidR="004E10B5" w:rsidRPr="00326C32" w:rsidTr="004E10B5">
        <w:trPr>
          <w:trHeight w:hRule="exact" w:val="4334"/>
        </w:trPr>
        <w:tc>
          <w:tcPr>
            <w:tcW w:w="2235" w:type="dxa"/>
            <w:vMerge/>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eastAsia="Calibri" w:hAnsiTheme="minorHAnsi" w:cstheme="minorHAnsi"/>
                <w:color w:val="auto"/>
              </w:rPr>
            </w:pPr>
            <w:r w:rsidRPr="0085391B">
              <w:rPr>
                <w:rFonts w:asciiTheme="minorHAnsi" w:eastAsia="Calibri" w:hAnsiTheme="minorHAnsi" w:cstheme="minorHAnsi"/>
                <w:color w:val="auto"/>
              </w:rPr>
              <w:t xml:space="preserve">Reach for the stars. An aspirational intervention programme for parents and their child with aims of developing a successfully future. </w:t>
            </w:r>
          </w:p>
          <w:p w:rsidR="004E10B5" w:rsidRPr="0085391B" w:rsidRDefault="004E10B5" w:rsidP="00AC76D0">
            <w:pPr>
              <w:rPr>
                <w:rFonts w:asciiTheme="minorHAnsi" w:hAnsiTheme="minorHAnsi" w:cstheme="minorHAnsi"/>
                <w:color w:val="auto"/>
              </w:rPr>
            </w:pP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5 PP families attended this intervention regularly out of the 6 who </w:t>
            </w:r>
            <w:proofErr w:type="gramStart"/>
            <w:r w:rsidRPr="0085391B">
              <w:rPr>
                <w:rFonts w:asciiTheme="minorHAnsi" w:hAnsiTheme="minorHAnsi" w:cstheme="minorHAnsi"/>
              </w:rPr>
              <w:t>were invited</w:t>
            </w:r>
            <w:proofErr w:type="gramEnd"/>
            <w:r w:rsidRPr="0085391B">
              <w:rPr>
                <w:rFonts w:asciiTheme="minorHAnsi" w:hAnsiTheme="minorHAnsi" w:cstheme="minorHAnsi"/>
              </w:rPr>
              <w:t xml:space="preserve">.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They completed family based learning with the learning mentor and completed weekly craft activities. High aspirational activities </w:t>
            </w:r>
            <w:proofErr w:type="gramStart"/>
            <w:r w:rsidRPr="0085391B">
              <w:rPr>
                <w:rFonts w:asciiTheme="minorHAnsi" w:hAnsiTheme="minorHAnsi" w:cstheme="minorHAnsi"/>
              </w:rPr>
              <w:t>were completed</w:t>
            </w:r>
            <w:proofErr w:type="gramEnd"/>
            <w:r w:rsidRPr="0085391B">
              <w:rPr>
                <w:rFonts w:asciiTheme="minorHAnsi" w:hAnsiTheme="minorHAnsi" w:cstheme="minorHAnsi"/>
              </w:rPr>
              <w:t xml:space="preserve"> with a view to identifying a future educational path for their children. Most expressed a wish for their children to progress into further education.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2 of these families had completed similar courses with an older child and felt it had been particularly. 100% of the parents said they would recommend this to friends. </w:t>
            </w:r>
          </w:p>
          <w:p w:rsidR="004E10B5" w:rsidRPr="0085391B" w:rsidRDefault="004E10B5" w:rsidP="00AC76D0">
            <w:pPr>
              <w:rPr>
                <w:rFonts w:asciiTheme="minorHAnsi" w:hAnsiTheme="minorHAnsi" w:cstheme="minorHAnsi"/>
              </w:rPr>
            </w:pPr>
          </w:p>
        </w:tc>
        <w:tc>
          <w:tcPr>
            <w:tcW w:w="5528" w:type="dxa"/>
            <w:tcMar>
              <w:top w:w="57" w:type="dxa"/>
              <w:bottom w:w="57" w:type="dxa"/>
            </w:tcMar>
          </w:tcPr>
          <w:p w:rsidR="004E10B5" w:rsidRPr="0085391B" w:rsidRDefault="004E10B5" w:rsidP="00AC76D0">
            <w:pPr>
              <w:spacing w:after="0"/>
              <w:rPr>
                <w:rFonts w:asciiTheme="minorHAnsi" w:eastAsia="Calibri" w:hAnsiTheme="minorHAnsi" w:cstheme="minorHAnsi"/>
                <w:color w:val="FF0000"/>
              </w:rPr>
            </w:pPr>
            <w:r w:rsidRPr="0085391B">
              <w:rPr>
                <w:rFonts w:asciiTheme="minorHAnsi" w:eastAsia="Calibri" w:hAnsiTheme="minorHAnsi" w:cstheme="minorHAnsi"/>
                <w:color w:val="auto"/>
              </w:rPr>
              <w:t xml:space="preserve">Many of the PP families have now attended this course (key stage 2 children) so will not be running during the next academic year. It </w:t>
            </w:r>
            <w:proofErr w:type="gramStart"/>
            <w:r w:rsidRPr="0085391B">
              <w:rPr>
                <w:rFonts w:asciiTheme="minorHAnsi" w:eastAsia="Calibri" w:hAnsiTheme="minorHAnsi" w:cstheme="minorHAnsi"/>
                <w:color w:val="auto"/>
              </w:rPr>
              <w:t>is planned</w:t>
            </w:r>
            <w:proofErr w:type="gramEnd"/>
            <w:r w:rsidRPr="0085391B">
              <w:rPr>
                <w:rFonts w:asciiTheme="minorHAnsi" w:eastAsia="Calibri" w:hAnsiTheme="minorHAnsi" w:cstheme="minorHAnsi"/>
                <w:color w:val="auto"/>
              </w:rPr>
              <w:t xml:space="preserve"> to return to the schools family learning programme during 2018-2019 when a larger group of current Y4 children move into Y5. </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£500</w:t>
            </w:r>
          </w:p>
        </w:tc>
      </w:tr>
      <w:tr w:rsidR="004E10B5" w:rsidRPr="00326C32" w:rsidTr="004E10B5">
        <w:trPr>
          <w:trHeight w:val="20"/>
        </w:trPr>
        <w:tc>
          <w:tcPr>
            <w:tcW w:w="2235" w:type="dxa"/>
            <w:vMerge/>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 xml:space="preserve">Full-time </w:t>
            </w:r>
            <w:proofErr w:type="gramStart"/>
            <w:r w:rsidRPr="0085391B">
              <w:rPr>
                <w:rFonts w:asciiTheme="minorHAnsi" w:hAnsiTheme="minorHAnsi" w:cstheme="minorHAnsi"/>
                <w:color w:val="auto"/>
              </w:rPr>
              <w:t>reading recovery staff member</w:t>
            </w:r>
            <w:proofErr w:type="gramEnd"/>
            <w:r w:rsidRPr="0085391B">
              <w:rPr>
                <w:rFonts w:asciiTheme="minorHAnsi" w:hAnsiTheme="minorHAnsi" w:cstheme="minorHAnsi"/>
                <w:color w:val="auto"/>
              </w:rPr>
              <w:t>, phonics intervention programme and additional individual and guided reading.</w:t>
            </w:r>
          </w:p>
          <w:p w:rsidR="004E10B5" w:rsidRPr="0085391B" w:rsidRDefault="004E10B5" w:rsidP="00AC76D0">
            <w:pPr>
              <w:rPr>
                <w:rFonts w:asciiTheme="minorHAnsi" w:hAnsiTheme="minorHAnsi" w:cstheme="minorHAnsi"/>
                <w:color w:val="auto"/>
              </w:rPr>
            </w:pP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3 PP children in Y1 made accelerated progress on reading recovery last year. </w:t>
            </w:r>
          </w:p>
          <w:p w:rsidR="004E10B5" w:rsidRPr="0085391B" w:rsidRDefault="004E10B5" w:rsidP="004E10B5">
            <w:pPr>
              <w:pStyle w:val="ListParagraph"/>
              <w:numPr>
                <w:ilvl w:val="0"/>
                <w:numId w:val="11"/>
              </w:numPr>
              <w:rPr>
                <w:rFonts w:asciiTheme="minorHAnsi" w:hAnsiTheme="minorHAnsi" w:cstheme="minorHAnsi"/>
                <w:bCs/>
              </w:rPr>
            </w:pPr>
            <w:r w:rsidRPr="0085391B">
              <w:rPr>
                <w:rFonts w:asciiTheme="minorHAnsi" w:hAnsiTheme="minorHAnsi" w:cstheme="minorHAnsi"/>
                <w:bCs/>
              </w:rPr>
              <w:t>L1 – L13 accelerated progress. Working towards ARE. Continue in September</w:t>
            </w:r>
          </w:p>
          <w:p w:rsidR="004E10B5" w:rsidRPr="0085391B" w:rsidRDefault="004E10B5" w:rsidP="004E10B5">
            <w:pPr>
              <w:pStyle w:val="ListParagraph"/>
              <w:numPr>
                <w:ilvl w:val="0"/>
                <w:numId w:val="11"/>
              </w:numPr>
              <w:rPr>
                <w:rFonts w:asciiTheme="minorHAnsi" w:hAnsiTheme="minorHAnsi" w:cstheme="minorHAnsi"/>
                <w:bCs/>
              </w:rPr>
            </w:pPr>
            <w:r w:rsidRPr="0085391B">
              <w:rPr>
                <w:rFonts w:asciiTheme="minorHAnsi" w:hAnsiTheme="minorHAnsi" w:cstheme="minorHAnsi"/>
                <w:bCs/>
              </w:rPr>
              <w:t xml:space="preserve">L1 – L17 accelerated progress. Now working At ARE within 24 weeks </w:t>
            </w:r>
          </w:p>
          <w:p w:rsidR="004E10B5" w:rsidRPr="0085391B" w:rsidRDefault="004E10B5" w:rsidP="004E10B5">
            <w:pPr>
              <w:pStyle w:val="ListParagraph"/>
              <w:numPr>
                <w:ilvl w:val="0"/>
                <w:numId w:val="11"/>
              </w:numPr>
              <w:rPr>
                <w:rFonts w:asciiTheme="minorHAnsi" w:hAnsiTheme="minorHAnsi" w:cstheme="minorHAnsi"/>
                <w:bCs/>
              </w:rPr>
            </w:pPr>
            <w:r w:rsidRPr="0085391B">
              <w:rPr>
                <w:rFonts w:asciiTheme="minorHAnsi" w:hAnsiTheme="minorHAnsi" w:cstheme="minorHAnsi"/>
                <w:bCs/>
              </w:rPr>
              <w:t>L1 – L14 accelerated progress in 12 weeks. Now working At ARE and working above EYFS emerging result.</w:t>
            </w:r>
          </w:p>
          <w:p w:rsidR="004E10B5" w:rsidRPr="0085391B" w:rsidRDefault="004E10B5" w:rsidP="00AC76D0">
            <w:pPr>
              <w:rPr>
                <w:rFonts w:asciiTheme="minorHAnsi" w:hAnsiTheme="minorHAnsi" w:cstheme="minorHAnsi"/>
                <w:bCs/>
              </w:rPr>
            </w:pPr>
            <w:r w:rsidRPr="0085391B">
              <w:rPr>
                <w:rFonts w:asciiTheme="minorHAnsi" w:hAnsiTheme="minorHAnsi" w:cstheme="minorHAnsi"/>
                <w:bCs/>
              </w:rPr>
              <w:lastRenderedPageBreak/>
              <w:t xml:space="preserve">3 other children will continue to receive support into the next academic year.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1 PP child in Y2 made accelerated progress on reading recovery last year. They will continue to have support on the catch-up reading scheme next year.  </w:t>
            </w:r>
          </w:p>
          <w:p w:rsidR="004E10B5" w:rsidRPr="0085391B" w:rsidRDefault="004E10B5" w:rsidP="00AC76D0">
            <w:pPr>
              <w:rPr>
                <w:rFonts w:asciiTheme="minorHAnsi" w:hAnsiTheme="minorHAnsi" w:cstheme="minorHAnsi"/>
                <w:bCs/>
              </w:rPr>
            </w:pPr>
          </w:p>
        </w:tc>
        <w:tc>
          <w:tcPr>
            <w:tcW w:w="5528" w:type="dxa"/>
            <w:tcMar>
              <w:top w:w="57" w:type="dxa"/>
              <w:bottom w:w="57" w:type="dxa"/>
            </w:tcMar>
          </w:tcPr>
          <w:p w:rsidR="004E10B5" w:rsidRPr="0085391B" w:rsidRDefault="004E10B5" w:rsidP="00AC76D0">
            <w:pPr>
              <w:pStyle w:val="NoSpacing"/>
              <w:rPr>
                <w:rFonts w:cstheme="minorHAnsi"/>
                <w:bCs/>
                <w:sz w:val="24"/>
                <w:szCs w:val="24"/>
              </w:rPr>
            </w:pPr>
            <w:r w:rsidRPr="0085391B">
              <w:rPr>
                <w:rFonts w:cstheme="minorHAnsi"/>
                <w:bCs/>
                <w:sz w:val="24"/>
                <w:szCs w:val="24"/>
              </w:rPr>
              <w:lastRenderedPageBreak/>
              <w:t xml:space="preserve">Over the last 3 years they programme has been running in school children have made and maintained accelerated progress. </w:t>
            </w:r>
          </w:p>
          <w:p w:rsidR="004E10B5" w:rsidRPr="0085391B" w:rsidRDefault="004E10B5" w:rsidP="00AC76D0">
            <w:pPr>
              <w:pStyle w:val="NoSpacing"/>
              <w:rPr>
                <w:rFonts w:cstheme="minorHAnsi"/>
                <w:bCs/>
                <w:sz w:val="24"/>
                <w:szCs w:val="24"/>
              </w:rPr>
            </w:pPr>
          </w:p>
          <w:p w:rsidR="004E10B5" w:rsidRPr="0085391B" w:rsidRDefault="004E10B5" w:rsidP="00AC76D0">
            <w:pPr>
              <w:pStyle w:val="NoSpacing"/>
              <w:rPr>
                <w:rFonts w:cstheme="minorHAnsi"/>
                <w:bCs/>
                <w:sz w:val="24"/>
                <w:szCs w:val="24"/>
              </w:rPr>
            </w:pPr>
            <w:r w:rsidRPr="0085391B">
              <w:rPr>
                <w:rFonts w:cstheme="minorHAnsi"/>
                <w:bCs/>
                <w:sz w:val="24"/>
                <w:szCs w:val="24"/>
              </w:rPr>
              <w:t xml:space="preserve">EEF advocates early intervention as the key to closing the gap and ensuring children progress at the same rate as their peers across school. Dane Royd staff firmly believe this. </w:t>
            </w:r>
          </w:p>
          <w:p w:rsidR="004E10B5" w:rsidRPr="0085391B" w:rsidRDefault="004E10B5" w:rsidP="00AC76D0">
            <w:pPr>
              <w:pStyle w:val="NoSpacing"/>
              <w:rPr>
                <w:rFonts w:cstheme="minorHAnsi"/>
                <w:bCs/>
                <w:sz w:val="24"/>
                <w:szCs w:val="24"/>
              </w:rPr>
            </w:pPr>
          </w:p>
          <w:p w:rsidR="004E10B5" w:rsidRPr="0085391B" w:rsidRDefault="004E10B5" w:rsidP="00AC76D0">
            <w:pPr>
              <w:pStyle w:val="NoSpacing"/>
              <w:rPr>
                <w:rFonts w:cstheme="minorHAnsi"/>
                <w:bCs/>
                <w:sz w:val="24"/>
                <w:szCs w:val="24"/>
              </w:rPr>
            </w:pPr>
            <w:r w:rsidRPr="0085391B">
              <w:rPr>
                <w:rFonts w:cstheme="minorHAnsi"/>
                <w:bCs/>
                <w:sz w:val="24"/>
                <w:szCs w:val="24"/>
              </w:rPr>
              <w:t>Reading recovery to continue in 2017-2018 with additional part-time teaching assistant to complete the training to 6-7 children to access the programme weekly.</w:t>
            </w:r>
          </w:p>
          <w:p w:rsidR="004E10B5" w:rsidRPr="0085391B" w:rsidRDefault="004E10B5" w:rsidP="00AC76D0">
            <w:pPr>
              <w:pStyle w:val="NoSpacing"/>
              <w:rPr>
                <w:rFonts w:cstheme="minorHAnsi"/>
                <w:bCs/>
                <w:sz w:val="24"/>
                <w:szCs w:val="24"/>
              </w:rPr>
            </w:pPr>
            <w:r w:rsidRPr="0085391B">
              <w:rPr>
                <w:rFonts w:cstheme="minorHAnsi"/>
                <w:bCs/>
                <w:sz w:val="24"/>
                <w:szCs w:val="24"/>
              </w:rPr>
              <w:t xml:space="preserve">. </w:t>
            </w:r>
          </w:p>
          <w:p w:rsidR="004E10B5" w:rsidRPr="0085391B" w:rsidRDefault="004E10B5" w:rsidP="00AC76D0">
            <w:pPr>
              <w:spacing w:after="0"/>
              <w:rPr>
                <w:rFonts w:asciiTheme="minorHAnsi" w:hAnsiTheme="minorHAnsi" w:cstheme="minorHAnsi"/>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£11,000</w:t>
            </w:r>
          </w:p>
        </w:tc>
      </w:tr>
      <w:tr w:rsidR="004E10B5" w:rsidRPr="00326C32" w:rsidTr="004E10B5">
        <w:trPr>
          <w:trHeight w:hRule="exact" w:val="7205"/>
        </w:trPr>
        <w:tc>
          <w:tcPr>
            <w:tcW w:w="2235" w:type="dxa"/>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eastAsia="Calibri" w:hAnsiTheme="minorHAnsi" w:cstheme="minorHAnsi"/>
                <w:color w:val="auto"/>
              </w:rPr>
            </w:pPr>
            <w:r w:rsidRPr="0085391B">
              <w:rPr>
                <w:rFonts w:asciiTheme="minorHAnsi" w:eastAsia="Calibri" w:hAnsiTheme="minorHAnsi" w:cstheme="minorHAnsi"/>
                <w:color w:val="auto"/>
              </w:rPr>
              <w:t xml:space="preserve">LEXIA web based intervention programme to develop reading, writing, spelling and grammar skills. </w:t>
            </w:r>
          </w:p>
          <w:p w:rsidR="004E10B5" w:rsidRPr="0085391B" w:rsidRDefault="004E10B5" w:rsidP="00AC76D0">
            <w:pPr>
              <w:spacing w:after="0"/>
              <w:rPr>
                <w:rFonts w:asciiTheme="minorHAnsi" w:hAnsiTheme="minorHAnsi" w:cstheme="minorHAnsi"/>
                <w:color w:val="auto"/>
              </w:rPr>
            </w:pPr>
          </w:p>
        </w:tc>
        <w:tc>
          <w:tcPr>
            <w:tcW w:w="4678" w:type="dxa"/>
            <w:tcMar>
              <w:top w:w="57" w:type="dxa"/>
              <w:bottom w:w="57" w:type="dxa"/>
            </w:tcMar>
          </w:tcPr>
          <w:p w:rsidR="004E10B5" w:rsidRPr="0085391B" w:rsidRDefault="004E10B5" w:rsidP="00AC76D0">
            <w:pPr>
              <w:spacing w:after="0"/>
              <w:rPr>
                <w:rFonts w:asciiTheme="minorHAnsi" w:hAnsiTheme="minorHAnsi" w:cstheme="minorHAnsi"/>
                <w:color w:val="auto"/>
              </w:rPr>
            </w:pPr>
            <w:proofErr w:type="spellStart"/>
            <w:r w:rsidRPr="0085391B">
              <w:rPr>
                <w:rFonts w:asciiTheme="minorHAnsi" w:hAnsiTheme="minorHAnsi" w:cstheme="minorHAnsi"/>
                <w:color w:val="auto"/>
              </w:rPr>
              <w:t>Lexia</w:t>
            </w:r>
            <w:proofErr w:type="spellEnd"/>
            <w:r w:rsidRPr="0085391B">
              <w:rPr>
                <w:rFonts w:asciiTheme="minorHAnsi" w:hAnsiTheme="minorHAnsi" w:cstheme="minorHAnsi"/>
                <w:color w:val="auto"/>
              </w:rPr>
              <w:t xml:space="preserve"> was on trial during last year. </w:t>
            </w:r>
          </w:p>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 xml:space="preserve">Progression for all children of all abilities during the trial. Extension to 60 site licences across Y1 – Y6. </w:t>
            </w:r>
          </w:p>
          <w:p w:rsidR="004E10B5" w:rsidRPr="0085391B" w:rsidRDefault="004E10B5" w:rsidP="004E10B5">
            <w:pPr>
              <w:pStyle w:val="ListParagraph"/>
              <w:numPr>
                <w:ilvl w:val="0"/>
                <w:numId w:val="12"/>
              </w:numPr>
              <w:spacing w:after="0"/>
              <w:rPr>
                <w:rFonts w:asciiTheme="minorHAnsi" w:hAnsiTheme="minorHAnsi" w:cstheme="minorHAnsi"/>
                <w:color w:val="auto"/>
              </w:rPr>
            </w:pPr>
            <w:r w:rsidRPr="0085391B">
              <w:rPr>
                <w:rFonts w:asciiTheme="minorHAnsi" w:hAnsiTheme="minorHAnsi" w:cstheme="minorHAnsi"/>
                <w:color w:val="auto"/>
              </w:rPr>
              <w:t>Autumn – 22 PP children</w:t>
            </w:r>
          </w:p>
          <w:p w:rsidR="004E10B5" w:rsidRPr="0085391B" w:rsidRDefault="004E10B5" w:rsidP="004E10B5">
            <w:pPr>
              <w:pStyle w:val="ListParagraph"/>
              <w:numPr>
                <w:ilvl w:val="0"/>
                <w:numId w:val="12"/>
              </w:numPr>
              <w:spacing w:after="0"/>
              <w:rPr>
                <w:rFonts w:asciiTheme="minorHAnsi" w:hAnsiTheme="minorHAnsi" w:cstheme="minorHAnsi"/>
                <w:color w:val="auto"/>
              </w:rPr>
            </w:pPr>
            <w:r w:rsidRPr="0085391B">
              <w:rPr>
                <w:rFonts w:asciiTheme="minorHAnsi" w:hAnsiTheme="minorHAnsi" w:cstheme="minorHAnsi"/>
                <w:color w:val="auto"/>
              </w:rPr>
              <w:t>Spring – 20 PP children (decrease due to children having made enough progress an being taken off the programme</w:t>
            </w:r>
          </w:p>
          <w:p w:rsidR="004E10B5" w:rsidRPr="0085391B" w:rsidRDefault="004E10B5" w:rsidP="004E10B5">
            <w:pPr>
              <w:pStyle w:val="ListParagraph"/>
              <w:numPr>
                <w:ilvl w:val="0"/>
                <w:numId w:val="12"/>
              </w:numPr>
              <w:spacing w:after="0"/>
              <w:rPr>
                <w:rFonts w:asciiTheme="minorHAnsi" w:hAnsiTheme="minorHAnsi" w:cstheme="minorHAnsi"/>
                <w:color w:val="auto"/>
              </w:rPr>
            </w:pPr>
            <w:r w:rsidRPr="0085391B">
              <w:rPr>
                <w:rFonts w:asciiTheme="minorHAnsi" w:hAnsiTheme="minorHAnsi" w:cstheme="minorHAnsi"/>
                <w:color w:val="auto"/>
              </w:rPr>
              <w:t xml:space="preserve">Summer 26 PP children </w:t>
            </w:r>
            <w:proofErr w:type="gramStart"/>
            <w:r w:rsidRPr="0085391B">
              <w:rPr>
                <w:rFonts w:asciiTheme="minorHAnsi" w:hAnsiTheme="minorHAnsi" w:cstheme="minorHAnsi"/>
                <w:color w:val="auto"/>
              </w:rPr>
              <w:t>( increase</w:t>
            </w:r>
            <w:proofErr w:type="gramEnd"/>
            <w:r w:rsidRPr="0085391B">
              <w:rPr>
                <w:rFonts w:asciiTheme="minorHAnsi" w:hAnsiTheme="minorHAnsi" w:cstheme="minorHAnsi"/>
                <w:color w:val="auto"/>
              </w:rPr>
              <w:t xml:space="preserve"> due to emerging needs and mobility) 20 children have made accelerated progress during the academic year. </w:t>
            </w:r>
            <w:proofErr w:type="gramStart"/>
            <w:r w:rsidRPr="0085391B">
              <w:rPr>
                <w:rFonts w:asciiTheme="minorHAnsi" w:hAnsiTheme="minorHAnsi" w:cstheme="minorHAnsi"/>
                <w:color w:val="auto"/>
              </w:rPr>
              <w:t>3</w:t>
            </w:r>
            <w:proofErr w:type="gramEnd"/>
            <w:r w:rsidRPr="0085391B">
              <w:rPr>
                <w:rFonts w:asciiTheme="minorHAnsi" w:hAnsiTheme="minorHAnsi" w:cstheme="minorHAnsi"/>
                <w:color w:val="auto"/>
              </w:rPr>
              <w:t xml:space="preserve"> removed from the SEN register. </w:t>
            </w:r>
            <w:proofErr w:type="gramStart"/>
            <w:r w:rsidRPr="0085391B">
              <w:rPr>
                <w:rFonts w:asciiTheme="minorHAnsi" w:hAnsiTheme="minorHAnsi" w:cstheme="minorHAnsi"/>
                <w:color w:val="auto"/>
              </w:rPr>
              <w:t>6</w:t>
            </w:r>
            <w:proofErr w:type="gramEnd"/>
            <w:r w:rsidRPr="0085391B">
              <w:rPr>
                <w:rFonts w:asciiTheme="minorHAnsi" w:hAnsiTheme="minorHAnsi" w:cstheme="minorHAnsi"/>
                <w:color w:val="auto"/>
              </w:rPr>
              <w:t xml:space="preserve"> continue to be working below ARE.</w:t>
            </w:r>
          </w:p>
          <w:p w:rsidR="004E10B5" w:rsidRPr="0085391B" w:rsidRDefault="004E10B5" w:rsidP="00AC76D0">
            <w:pPr>
              <w:spacing w:after="0"/>
              <w:rPr>
                <w:rFonts w:asciiTheme="minorHAnsi" w:hAnsiTheme="minorHAnsi" w:cstheme="minorHAnsi"/>
                <w:color w:val="auto"/>
              </w:rPr>
            </w:pPr>
          </w:p>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Children’s progress was higher for those children who work on the programme at home with their parents (20 minutes expected per week)</w:t>
            </w:r>
          </w:p>
          <w:p w:rsidR="004E10B5" w:rsidRPr="0085391B" w:rsidRDefault="004E10B5" w:rsidP="00AC76D0">
            <w:pPr>
              <w:spacing w:after="0"/>
              <w:rPr>
                <w:rFonts w:asciiTheme="minorHAnsi" w:hAnsiTheme="minorHAnsi" w:cstheme="minorHAnsi"/>
                <w:color w:val="auto"/>
              </w:rPr>
            </w:pPr>
          </w:p>
          <w:p w:rsidR="004E10B5" w:rsidRPr="0085391B" w:rsidRDefault="004E10B5" w:rsidP="00AC76D0">
            <w:pPr>
              <w:spacing w:after="0"/>
              <w:rPr>
                <w:rFonts w:asciiTheme="minorHAnsi" w:hAnsiTheme="minorHAnsi" w:cstheme="minorHAnsi"/>
                <w:color w:val="auto"/>
              </w:rPr>
            </w:pPr>
          </w:p>
          <w:p w:rsidR="004E10B5" w:rsidRPr="0085391B" w:rsidRDefault="004E10B5" w:rsidP="00AC76D0">
            <w:pPr>
              <w:rPr>
                <w:rFonts w:asciiTheme="minorHAnsi" w:hAnsiTheme="minorHAnsi" w:cstheme="minorHAnsi"/>
                <w:color w:val="auto"/>
              </w:rPr>
            </w:pPr>
          </w:p>
        </w:tc>
        <w:tc>
          <w:tcPr>
            <w:tcW w:w="5528" w:type="dxa"/>
            <w:tcMar>
              <w:top w:w="57" w:type="dxa"/>
              <w:bottom w:w="57" w:type="dxa"/>
            </w:tcMar>
          </w:tcPr>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 xml:space="preserve">Targeted/individualised intervention programmes to address personal issues for children has risen over recent years. </w:t>
            </w:r>
          </w:p>
          <w:p w:rsidR="004E10B5" w:rsidRPr="0085391B" w:rsidRDefault="004E10B5" w:rsidP="00AC76D0">
            <w:pPr>
              <w:spacing w:after="0"/>
              <w:rPr>
                <w:rFonts w:asciiTheme="minorHAnsi" w:hAnsiTheme="minorHAnsi" w:cstheme="minorHAnsi"/>
                <w:color w:val="auto"/>
                <w:lang w:val="en"/>
              </w:rPr>
            </w:pPr>
            <w:r w:rsidRPr="0085391B">
              <w:rPr>
                <w:rFonts w:asciiTheme="minorHAnsi" w:hAnsiTheme="minorHAnsi" w:cstheme="minorHAnsi"/>
                <w:color w:val="auto"/>
              </w:rPr>
              <w:t xml:space="preserve">EFF </w:t>
            </w:r>
            <w:r w:rsidRPr="0085391B">
              <w:rPr>
                <w:rFonts w:asciiTheme="minorHAnsi" w:hAnsiTheme="minorHAnsi" w:cstheme="minorHAnsi"/>
                <w:color w:val="auto"/>
                <w:lang w:val="en"/>
              </w:rPr>
              <w:t>evidence indicates that one to one tuition can be effective, on average accelerating learning by approximately five additional months’ progress.</w:t>
            </w:r>
          </w:p>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lang w:val="en"/>
              </w:rPr>
              <w:t xml:space="preserve">2017-2018 – To continue next year with 60 licenses. Focus for LEXIA initially for KS1 pupils and lower KS2. Parents meeting to </w:t>
            </w:r>
            <w:proofErr w:type="gramStart"/>
            <w:r w:rsidRPr="0085391B">
              <w:rPr>
                <w:rFonts w:asciiTheme="minorHAnsi" w:hAnsiTheme="minorHAnsi" w:cstheme="minorHAnsi"/>
                <w:color w:val="auto"/>
                <w:lang w:val="en"/>
              </w:rPr>
              <w:t>be held</w:t>
            </w:r>
            <w:proofErr w:type="gramEnd"/>
            <w:r w:rsidRPr="0085391B">
              <w:rPr>
                <w:rFonts w:asciiTheme="minorHAnsi" w:hAnsiTheme="minorHAnsi" w:cstheme="minorHAnsi"/>
                <w:color w:val="auto"/>
                <w:lang w:val="en"/>
              </w:rPr>
              <w:t xml:space="preserve"> to discuss the use of the </w:t>
            </w:r>
            <w:proofErr w:type="spellStart"/>
            <w:r w:rsidRPr="0085391B">
              <w:rPr>
                <w:rFonts w:asciiTheme="minorHAnsi" w:hAnsiTheme="minorHAnsi" w:cstheme="minorHAnsi"/>
                <w:color w:val="auto"/>
                <w:lang w:val="en"/>
              </w:rPr>
              <w:t>programme</w:t>
            </w:r>
            <w:proofErr w:type="spellEnd"/>
            <w:r w:rsidRPr="0085391B">
              <w:rPr>
                <w:rFonts w:asciiTheme="minorHAnsi" w:hAnsiTheme="minorHAnsi" w:cstheme="minorHAnsi"/>
                <w:color w:val="auto"/>
                <w:lang w:val="en"/>
              </w:rPr>
              <w:t xml:space="preserve"> and how parents can help their children at home. </w:t>
            </w:r>
          </w:p>
          <w:p w:rsidR="004E10B5" w:rsidRPr="0085391B" w:rsidRDefault="004E10B5" w:rsidP="00AC76D0">
            <w:pPr>
              <w:spacing w:after="0"/>
              <w:rPr>
                <w:rFonts w:asciiTheme="minorHAnsi" w:hAnsiTheme="minorHAnsi" w:cstheme="minorHAnsi"/>
                <w:color w:val="auto"/>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£2,500</w:t>
            </w:r>
          </w:p>
        </w:tc>
      </w:tr>
      <w:tr w:rsidR="004E10B5" w:rsidRPr="00326C32" w:rsidTr="004E10B5">
        <w:trPr>
          <w:trHeight w:hRule="exact" w:val="5736"/>
        </w:trPr>
        <w:tc>
          <w:tcPr>
            <w:tcW w:w="2235" w:type="dxa"/>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hAnsiTheme="minorHAnsi" w:cstheme="minorHAnsi"/>
                <w:color w:val="auto"/>
              </w:rPr>
            </w:pPr>
            <w:r w:rsidRPr="0085391B">
              <w:rPr>
                <w:rFonts w:asciiTheme="minorHAnsi" w:hAnsiTheme="minorHAnsi" w:cstheme="minorHAnsi"/>
                <w:color w:val="auto"/>
              </w:rPr>
              <w:t xml:space="preserve">Subsidised school uniform, P.E. kits and book bags for families as and when required. ROBINWOOD RESIDENTIAL, CLOTHES FOR VISIT, SCHOOL VISITS OFF SITE. </w:t>
            </w:r>
          </w:p>
          <w:p w:rsidR="004E10B5" w:rsidRPr="0085391B" w:rsidRDefault="004E10B5" w:rsidP="00AC76D0">
            <w:pPr>
              <w:rPr>
                <w:rFonts w:asciiTheme="minorHAnsi" w:hAnsiTheme="minorHAnsi" w:cstheme="minorHAnsi"/>
                <w:color w:val="auto"/>
              </w:rPr>
            </w:pPr>
          </w:p>
        </w:tc>
        <w:tc>
          <w:tcPr>
            <w:tcW w:w="4678"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School staff have supported families who require financial support at different times during the academic year. Payment plans for educational visits have been arranged and the following clothing items have been subsidised/funded</w:t>
            </w:r>
          </w:p>
          <w:p w:rsidR="004E10B5" w:rsidRPr="0085391B" w:rsidRDefault="004E10B5" w:rsidP="00AC76D0">
            <w:pPr>
              <w:spacing w:after="0"/>
              <w:rPr>
                <w:rFonts w:asciiTheme="minorHAnsi" w:hAnsiTheme="minorHAnsi" w:cstheme="minorHAnsi"/>
              </w:rPr>
            </w:pPr>
          </w:p>
          <w:p w:rsidR="004E10B5" w:rsidRPr="0085391B" w:rsidRDefault="004E10B5" w:rsidP="004E10B5">
            <w:pPr>
              <w:pStyle w:val="ListParagraph"/>
              <w:numPr>
                <w:ilvl w:val="0"/>
                <w:numId w:val="13"/>
              </w:numPr>
              <w:spacing w:after="0"/>
              <w:rPr>
                <w:rFonts w:asciiTheme="minorHAnsi" w:hAnsiTheme="minorHAnsi" w:cstheme="minorHAnsi"/>
              </w:rPr>
            </w:pPr>
            <w:proofErr w:type="gramStart"/>
            <w:r w:rsidRPr="0085391B">
              <w:rPr>
                <w:rFonts w:asciiTheme="minorHAnsi" w:hAnsiTheme="minorHAnsi" w:cstheme="minorHAnsi"/>
              </w:rPr>
              <w:t>5</w:t>
            </w:r>
            <w:proofErr w:type="gramEnd"/>
            <w:r w:rsidRPr="0085391B">
              <w:rPr>
                <w:rFonts w:asciiTheme="minorHAnsi" w:hAnsiTheme="minorHAnsi" w:cstheme="minorHAnsi"/>
              </w:rPr>
              <w:t xml:space="preserve"> children provided with school uniform and P.E. kit throughout the academic year. </w:t>
            </w:r>
          </w:p>
          <w:p w:rsidR="004E10B5" w:rsidRPr="0085391B" w:rsidRDefault="004E10B5" w:rsidP="004E10B5">
            <w:pPr>
              <w:pStyle w:val="ListParagraph"/>
              <w:numPr>
                <w:ilvl w:val="0"/>
                <w:numId w:val="13"/>
              </w:numPr>
              <w:spacing w:after="0"/>
              <w:rPr>
                <w:rFonts w:asciiTheme="minorHAnsi" w:hAnsiTheme="minorHAnsi" w:cstheme="minorHAnsi"/>
              </w:rPr>
            </w:pPr>
            <w:proofErr w:type="gramStart"/>
            <w:r w:rsidRPr="0085391B">
              <w:rPr>
                <w:rFonts w:asciiTheme="minorHAnsi" w:hAnsiTheme="minorHAnsi" w:cstheme="minorHAnsi"/>
              </w:rPr>
              <w:t>1</w:t>
            </w:r>
            <w:proofErr w:type="gramEnd"/>
            <w:r w:rsidRPr="0085391B">
              <w:rPr>
                <w:rFonts w:asciiTheme="minorHAnsi" w:hAnsiTheme="minorHAnsi" w:cstheme="minorHAnsi"/>
              </w:rPr>
              <w:t xml:space="preserve"> LAC child received a laptop to support with homework and additional learning programmes. </w:t>
            </w:r>
          </w:p>
          <w:p w:rsidR="004E10B5" w:rsidRPr="0085391B" w:rsidRDefault="004E10B5" w:rsidP="004E10B5">
            <w:pPr>
              <w:pStyle w:val="ListParagraph"/>
              <w:numPr>
                <w:ilvl w:val="0"/>
                <w:numId w:val="13"/>
              </w:numPr>
              <w:spacing w:after="0"/>
              <w:rPr>
                <w:rFonts w:asciiTheme="minorHAnsi" w:hAnsiTheme="minorHAnsi" w:cstheme="minorHAnsi"/>
              </w:rPr>
            </w:pPr>
            <w:proofErr w:type="gramStart"/>
            <w:r w:rsidRPr="0085391B">
              <w:rPr>
                <w:rFonts w:asciiTheme="minorHAnsi" w:hAnsiTheme="minorHAnsi" w:cstheme="minorHAnsi"/>
              </w:rPr>
              <w:t>1</w:t>
            </w:r>
            <w:proofErr w:type="gramEnd"/>
            <w:r w:rsidRPr="0085391B">
              <w:rPr>
                <w:rFonts w:asciiTheme="minorHAnsi" w:hAnsiTheme="minorHAnsi" w:cstheme="minorHAnsi"/>
              </w:rPr>
              <w:t xml:space="preserve"> child received warm clothing and footwear so she could attend the school residential.</w:t>
            </w:r>
          </w:p>
          <w:p w:rsidR="004E10B5" w:rsidRPr="0085391B" w:rsidRDefault="004E10B5" w:rsidP="004E10B5">
            <w:pPr>
              <w:pStyle w:val="ListParagraph"/>
              <w:numPr>
                <w:ilvl w:val="0"/>
                <w:numId w:val="13"/>
              </w:numPr>
              <w:spacing w:after="0"/>
              <w:rPr>
                <w:rFonts w:asciiTheme="minorHAnsi" w:hAnsiTheme="minorHAnsi" w:cstheme="minorHAnsi"/>
              </w:rPr>
            </w:pPr>
            <w:proofErr w:type="gramStart"/>
            <w:r w:rsidRPr="0085391B">
              <w:rPr>
                <w:rFonts w:asciiTheme="minorHAnsi" w:hAnsiTheme="minorHAnsi" w:cstheme="minorHAnsi"/>
              </w:rPr>
              <w:t>2</w:t>
            </w:r>
            <w:proofErr w:type="gramEnd"/>
            <w:r w:rsidRPr="0085391B">
              <w:rPr>
                <w:rFonts w:asciiTheme="minorHAnsi" w:hAnsiTheme="minorHAnsi" w:cstheme="minorHAnsi"/>
              </w:rPr>
              <w:t xml:space="preserve"> children provided with fancy dress clothing to wear at themed/event days and party clothes at Christmas.</w:t>
            </w:r>
          </w:p>
          <w:p w:rsidR="004E10B5" w:rsidRPr="0085391B" w:rsidRDefault="004E10B5" w:rsidP="00AC76D0">
            <w:pPr>
              <w:spacing w:after="0"/>
              <w:rPr>
                <w:rFonts w:asciiTheme="minorHAnsi" w:hAnsiTheme="minorHAnsi" w:cstheme="minorHAnsi"/>
              </w:rPr>
            </w:pP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 </w:t>
            </w:r>
          </w:p>
        </w:tc>
        <w:tc>
          <w:tcPr>
            <w:tcW w:w="5528"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School staff firmly believe that all children should have the same opportunities when accessing education and that economic background should not hinder their experience in school. Therefore, money </w:t>
            </w:r>
            <w:proofErr w:type="gramStart"/>
            <w:r w:rsidRPr="0085391B">
              <w:rPr>
                <w:rFonts w:asciiTheme="minorHAnsi" w:hAnsiTheme="minorHAnsi" w:cstheme="minorHAnsi"/>
              </w:rPr>
              <w:t>is provided</w:t>
            </w:r>
            <w:proofErr w:type="gramEnd"/>
            <w:r w:rsidRPr="0085391B">
              <w:rPr>
                <w:rFonts w:asciiTheme="minorHAnsi" w:hAnsiTheme="minorHAnsi" w:cstheme="minorHAnsi"/>
              </w:rPr>
              <w:t xml:space="preserve"> for world book day outfits, party clothes, residential clothing, PE kits and warm winter clothes. Families work with the DSL’s and office staff </w:t>
            </w:r>
            <w:proofErr w:type="gramStart"/>
            <w:r w:rsidRPr="0085391B">
              <w:rPr>
                <w:rFonts w:asciiTheme="minorHAnsi" w:hAnsiTheme="minorHAnsi" w:cstheme="minorHAnsi"/>
              </w:rPr>
              <w:t>to privately discuss</w:t>
            </w:r>
            <w:proofErr w:type="gramEnd"/>
            <w:r w:rsidRPr="0085391B">
              <w:rPr>
                <w:rFonts w:asciiTheme="minorHAnsi" w:hAnsiTheme="minorHAnsi" w:cstheme="minorHAnsi"/>
              </w:rPr>
              <w:t xml:space="preserve"> any financial difficulties so they can be signposted to the correct professional services for support.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2017-2018 – school will continue to support families and children to ensure every child has the opportunity to access the curriculum and fully partake in all incentives. Finance should not be a barrier to learning.  </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£500</w:t>
            </w:r>
          </w:p>
        </w:tc>
      </w:tr>
      <w:tr w:rsidR="004E10B5" w:rsidRPr="00326C32" w:rsidTr="004E10B5">
        <w:trPr>
          <w:trHeight w:hRule="exact" w:val="340"/>
        </w:trPr>
        <w:tc>
          <w:tcPr>
            <w:tcW w:w="15559" w:type="dxa"/>
            <w:gridSpan w:val="5"/>
            <w:tcMar>
              <w:top w:w="57" w:type="dxa"/>
              <w:bottom w:w="57" w:type="dxa"/>
            </w:tcMar>
          </w:tcPr>
          <w:p w:rsidR="004E10B5" w:rsidRPr="0085391B" w:rsidRDefault="004E10B5" w:rsidP="004E10B5">
            <w:pPr>
              <w:pStyle w:val="ListParagraph"/>
              <w:numPr>
                <w:ilvl w:val="0"/>
                <w:numId w:val="2"/>
              </w:numPr>
              <w:spacing w:after="0" w:line="240" w:lineRule="auto"/>
              <w:ind w:left="426" w:hanging="142"/>
              <w:contextualSpacing w:val="0"/>
              <w:rPr>
                <w:rFonts w:asciiTheme="minorHAnsi" w:hAnsiTheme="minorHAnsi" w:cstheme="minorHAnsi"/>
              </w:rPr>
            </w:pPr>
            <w:r w:rsidRPr="0085391B">
              <w:rPr>
                <w:rFonts w:asciiTheme="minorHAnsi" w:hAnsiTheme="minorHAnsi" w:cstheme="minorHAnsi"/>
              </w:rPr>
              <w:t>Other approaches</w:t>
            </w:r>
          </w:p>
        </w:tc>
      </w:tr>
      <w:tr w:rsidR="004E10B5" w:rsidRPr="00326C32" w:rsidTr="004E10B5">
        <w:trPr>
          <w:trHeight w:hRule="exact" w:val="1169"/>
        </w:trPr>
        <w:tc>
          <w:tcPr>
            <w:tcW w:w="2235"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Desired outcome</w:t>
            </w:r>
          </w:p>
        </w:tc>
        <w:tc>
          <w:tcPr>
            <w:tcW w:w="1984"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Chosen action / approach</w:t>
            </w: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Estimated impact: Did you meet the success criteria? Include impact on pupils not eligible for PP, if appropriate.</w:t>
            </w:r>
          </w:p>
        </w:tc>
        <w:tc>
          <w:tcPr>
            <w:tcW w:w="5528"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Lessons learned </w:t>
            </w:r>
          </w:p>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(and whether you will continue with this approach)</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Cost</w:t>
            </w:r>
          </w:p>
        </w:tc>
      </w:tr>
      <w:tr w:rsidR="004E10B5" w:rsidRPr="00326C32" w:rsidTr="004E10B5">
        <w:trPr>
          <w:trHeight w:hRule="exact" w:val="8570"/>
        </w:trPr>
        <w:tc>
          <w:tcPr>
            <w:tcW w:w="2235" w:type="dxa"/>
            <w:vMerge w:val="restart"/>
            <w:tcMar>
              <w:top w:w="57" w:type="dxa"/>
              <w:bottom w:w="57" w:type="dxa"/>
            </w:tcMar>
          </w:tcPr>
          <w:p w:rsidR="004E10B5" w:rsidRPr="0085391B" w:rsidRDefault="004E10B5" w:rsidP="004E10B5">
            <w:pPr>
              <w:pStyle w:val="ListParagraph"/>
              <w:numPr>
                <w:ilvl w:val="0"/>
                <w:numId w:val="9"/>
              </w:numPr>
              <w:spacing w:after="0"/>
              <w:rPr>
                <w:rFonts w:asciiTheme="minorHAnsi" w:hAnsiTheme="minorHAnsi" w:cstheme="minorHAnsi"/>
              </w:rPr>
            </w:pPr>
            <w:r w:rsidRPr="0085391B">
              <w:rPr>
                <w:rFonts w:asciiTheme="minorHAnsi" w:hAnsiTheme="minorHAnsi" w:cstheme="minorHAnsi"/>
              </w:rPr>
              <w:lastRenderedPageBreak/>
              <w:t xml:space="preserve"> The current attendance will be monitored and alterations made to the before school initiatives to increase attendance.</w:t>
            </w:r>
          </w:p>
          <w:p w:rsidR="004E10B5" w:rsidRPr="0085391B" w:rsidRDefault="004E10B5" w:rsidP="00AC76D0">
            <w:pPr>
              <w:pStyle w:val="ListParagraph"/>
              <w:numPr>
                <w:ilvl w:val="0"/>
                <w:numId w:val="0"/>
              </w:numPr>
              <w:spacing w:after="0"/>
              <w:ind w:left="360"/>
              <w:rPr>
                <w:rFonts w:asciiTheme="minorHAnsi" w:hAnsiTheme="minorHAnsi" w:cstheme="minorHAnsi"/>
              </w:rPr>
            </w:pPr>
          </w:p>
          <w:p w:rsidR="004E10B5" w:rsidRPr="0085391B" w:rsidRDefault="004E10B5" w:rsidP="004E10B5">
            <w:pPr>
              <w:pStyle w:val="ListParagraph"/>
              <w:numPr>
                <w:ilvl w:val="0"/>
                <w:numId w:val="3"/>
              </w:numPr>
              <w:spacing w:after="0"/>
              <w:rPr>
                <w:rFonts w:asciiTheme="minorHAnsi" w:hAnsiTheme="minorHAnsi" w:cstheme="minorHAnsi"/>
              </w:rPr>
            </w:pPr>
            <w:r w:rsidRPr="0085391B">
              <w:rPr>
                <w:rFonts w:asciiTheme="minorHAnsi" w:hAnsiTheme="minorHAnsi" w:cstheme="minorHAnsi"/>
              </w:rPr>
              <w:t xml:space="preserve">Pupil Premium children will have opportunities to develop a growth mind set approach and develop </w:t>
            </w:r>
            <w:proofErr w:type="gramStart"/>
            <w:r w:rsidRPr="0085391B">
              <w:rPr>
                <w:rFonts w:asciiTheme="minorHAnsi" w:hAnsiTheme="minorHAnsi" w:cstheme="minorHAnsi"/>
              </w:rPr>
              <w:t>a believe</w:t>
            </w:r>
            <w:proofErr w:type="gramEnd"/>
            <w:r w:rsidRPr="0085391B">
              <w:rPr>
                <w:rFonts w:asciiTheme="minorHAnsi" w:hAnsiTheme="minorHAnsi" w:cstheme="minorHAnsi"/>
              </w:rPr>
              <w:t>, achieve, succeed approach.</w:t>
            </w:r>
          </w:p>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Pupil mentor &amp; Attendance officer working to increase overall attendance and support families with persistence absence and behavioural  difficulties</w:t>
            </w:r>
          </w:p>
          <w:p w:rsidR="004E10B5" w:rsidRPr="0085391B" w:rsidRDefault="004E10B5" w:rsidP="00AC76D0">
            <w:pPr>
              <w:spacing w:after="0"/>
              <w:rPr>
                <w:rFonts w:asciiTheme="minorHAnsi" w:hAnsiTheme="minorHAnsi" w:cstheme="minorHAnsi"/>
              </w:rPr>
            </w:pPr>
          </w:p>
        </w:tc>
        <w:tc>
          <w:tcPr>
            <w:tcW w:w="4678" w:type="dxa"/>
            <w:tcMar>
              <w:top w:w="57" w:type="dxa"/>
              <w:bottom w:w="57" w:type="dxa"/>
            </w:tcMar>
          </w:tcPr>
          <w:p w:rsidR="004E10B5" w:rsidRPr="0085391B" w:rsidRDefault="004E10B5" w:rsidP="00AC76D0">
            <w:pPr>
              <w:spacing w:after="0"/>
              <w:rPr>
                <w:rFonts w:asciiTheme="minorHAnsi" w:eastAsia="Calibri" w:hAnsiTheme="minorHAnsi" w:cstheme="minorHAnsi"/>
              </w:rPr>
            </w:pPr>
            <w:r w:rsidRPr="0085391B">
              <w:rPr>
                <w:rFonts w:asciiTheme="minorHAnsi" w:eastAsia="Calibri" w:hAnsiTheme="minorHAnsi" w:cstheme="minorHAnsi"/>
              </w:rPr>
              <w:t xml:space="preserve">Attendance officer has worked with and supported 6 persistent absence (PA) families throughout the year. </w:t>
            </w:r>
          </w:p>
          <w:p w:rsidR="004E10B5" w:rsidRPr="0085391B" w:rsidRDefault="004E10B5" w:rsidP="00AC76D0">
            <w:pPr>
              <w:spacing w:after="0"/>
              <w:rPr>
                <w:rFonts w:asciiTheme="minorHAnsi" w:eastAsia="Calibri" w:hAnsiTheme="minorHAnsi" w:cstheme="minorHAnsi"/>
              </w:rPr>
            </w:pPr>
            <w:r w:rsidRPr="0085391B">
              <w:rPr>
                <w:rFonts w:asciiTheme="minorHAnsi" w:eastAsia="Calibri" w:hAnsiTheme="minorHAnsi" w:cstheme="minorHAnsi"/>
              </w:rPr>
              <w:t xml:space="preserve">All parents will receive a first day response phone call when their child is absent. If they are unable to contact the family </w:t>
            </w:r>
            <w:proofErr w:type="spellStart"/>
            <w:r w:rsidRPr="0085391B">
              <w:rPr>
                <w:rFonts w:asciiTheme="minorHAnsi" w:eastAsia="Calibri" w:hAnsiTheme="minorHAnsi" w:cstheme="minorHAnsi"/>
              </w:rPr>
              <w:t>then</w:t>
            </w:r>
            <w:proofErr w:type="spellEnd"/>
            <w:r w:rsidRPr="0085391B">
              <w:rPr>
                <w:rFonts w:asciiTheme="minorHAnsi" w:eastAsia="Calibri" w:hAnsiTheme="minorHAnsi" w:cstheme="minorHAnsi"/>
              </w:rPr>
              <w:t xml:space="preserve"> 2 members of staff will call at the house to discuss the absence. Staff members have supported families </w:t>
            </w:r>
            <w:proofErr w:type="spellStart"/>
            <w:proofErr w:type="gramStart"/>
            <w:r w:rsidRPr="0085391B">
              <w:rPr>
                <w:rFonts w:asciiTheme="minorHAnsi" w:eastAsia="Calibri" w:hAnsiTheme="minorHAnsi" w:cstheme="minorHAnsi"/>
              </w:rPr>
              <w:t>who’s</w:t>
            </w:r>
            <w:proofErr w:type="spellEnd"/>
            <w:proofErr w:type="gramEnd"/>
            <w:r w:rsidRPr="0085391B">
              <w:rPr>
                <w:rFonts w:asciiTheme="minorHAnsi" w:eastAsia="Calibri" w:hAnsiTheme="minorHAnsi" w:cstheme="minorHAnsi"/>
              </w:rPr>
              <w:t xml:space="preserve"> parents have been ill by picking children up and bringing them to school. </w:t>
            </w:r>
            <w:proofErr w:type="gramStart"/>
            <w:r w:rsidRPr="0085391B">
              <w:rPr>
                <w:rFonts w:asciiTheme="minorHAnsi" w:eastAsia="Calibri" w:hAnsiTheme="minorHAnsi" w:cstheme="minorHAnsi"/>
              </w:rPr>
              <w:t>Doctors</w:t>
            </w:r>
            <w:proofErr w:type="gramEnd"/>
            <w:r w:rsidRPr="0085391B">
              <w:rPr>
                <w:rFonts w:asciiTheme="minorHAnsi" w:eastAsia="Calibri" w:hAnsiTheme="minorHAnsi" w:cstheme="minorHAnsi"/>
              </w:rPr>
              <w:t xml:space="preserve"> notes are sought when required. If the absence continues without good reason then the attendance officer will liaise with the Education Welfare Officer (EWO). </w:t>
            </w:r>
          </w:p>
          <w:p w:rsidR="004E10B5" w:rsidRPr="0085391B" w:rsidRDefault="004E10B5" w:rsidP="00AC76D0">
            <w:pPr>
              <w:spacing w:after="0"/>
              <w:rPr>
                <w:rFonts w:asciiTheme="minorHAnsi" w:eastAsia="Calibri" w:hAnsiTheme="minorHAnsi" w:cstheme="minorHAnsi"/>
              </w:rPr>
            </w:pPr>
          </w:p>
          <w:p w:rsidR="004E10B5" w:rsidRPr="0085391B" w:rsidRDefault="004E10B5" w:rsidP="00AC76D0">
            <w:pPr>
              <w:spacing w:after="0"/>
              <w:rPr>
                <w:rFonts w:asciiTheme="minorHAnsi" w:eastAsia="Calibri" w:hAnsiTheme="minorHAnsi" w:cstheme="minorHAnsi"/>
              </w:rPr>
            </w:pPr>
            <w:r w:rsidRPr="0085391B">
              <w:rPr>
                <w:rFonts w:asciiTheme="minorHAnsi" w:eastAsia="Calibri" w:hAnsiTheme="minorHAnsi" w:cstheme="minorHAnsi"/>
              </w:rPr>
              <w:t xml:space="preserve">The (EWO) works closely with the attendance officer and holds regular meeting with PA parents. This has resulted in 1 attendance fine </w:t>
            </w:r>
            <w:proofErr w:type="gramStart"/>
            <w:r w:rsidRPr="0085391B">
              <w:rPr>
                <w:rFonts w:asciiTheme="minorHAnsi" w:eastAsia="Calibri" w:hAnsiTheme="minorHAnsi" w:cstheme="minorHAnsi"/>
              </w:rPr>
              <w:t>being issued</w:t>
            </w:r>
            <w:proofErr w:type="gramEnd"/>
            <w:r w:rsidRPr="0085391B">
              <w:rPr>
                <w:rFonts w:asciiTheme="minorHAnsi" w:eastAsia="Calibri" w:hAnsiTheme="minorHAnsi" w:cstheme="minorHAnsi"/>
              </w:rPr>
              <w:t xml:space="preserve">. </w:t>
            </w:r>
          </w:p>
          <w:p w:rsidR="004E10B5" w:rsidRPr="0085391B" w:rsidRDefault="004E10B5" w:rsidP="00AC76D0">
            <w:pPr>
              <w:spacing w:after="0"/>
              <w:rPr>
                <w:rFonts w:asciiTheme="minorHAnsi" w:eastAsia="Calibri" w:hAnsiTheme="minorHAnsi" w:cstheme="minorHAnsi"/>
              </w:rPr>
            </w:pPr>
          </w:p>
          <w:p w:rsidR="004E10B5" w:rsidRPr="0085391B" w:rsidRDefault="004E10B5" w:rsidP="00AC76D0">
            <w:pPr>
              <w:spacing w:after="0"/>
              <w:rPr>
                <w:rFonts w:asciiTheme="minorHAnsi" w:eastAsia="Calibri" w:hAnsiTheme="minorHAnsi" w:cstheme="minorHAnsi"/>
              </w:rPr>
            </w:pPr>
            <w:r w:rsidRPr="0085391B">
              <w:rPr>
                <w:rFonts w:asciiTheme="minorHAnsi" w:eastAsia="Calibri" w:hAnsiTheme="minorHAnsi" w:cstheme="minorHAnsi"/>
              </w:rPr>
              <w:t xml:space="preserve">Attendance for 3 families has increased. They will continue to be </w:t>
            </w:r>
            <w:proofErr w:type="gramStart"/>
            <w:r w:rsidRPr="0085391B">
              <w:rPr>
                <w:rFonts w:asciiTheme="minorHAnsi" w:eastAsia="Calibri" w:hAnsiTheme="minorHAnsi" w:cstheme="minorHAnsi"/>
              </w:rPr>
              <w:t>monitored</w:t>
            </w:r>
            <w:proofErr w:type="gramEnd"/>
            <w:r w:rsidRPr="0085391B">
              <w:rPr>
                <w:rFonts w:asciiTheme="minorHAnsi" w:eastAsia="Calibri" w:hAnsiTheme="minorHAnsi" w:cstheme="minorHAnsi"/>
              </w:rPr>
              <w:t xml:space="preserve"> and supported next year. </w:t>
            </w:r>
          </w:p>
        </w:tc>
        <w:tc>
          <w:tcPr>
            <w:tcW w:w="5528" w:type="dxa"/>
            <w:tcMar>
              <w:top w:w="57" w:type="dxa"/>
              <w:bottom w:w="57" w:type="dxa"/>
            </w:tcMar>
          </w:tcPr>
          <w:p w:rsidR="004E10B5" w:rsidRPr="0085391B" w:rsidRDefault="004E10B5" w:rsidP="00AC76D0">
            <w:pPr>
              <w:spacing w:after="0"/>
              <w:rPr>
                <w:rFonts w:asciiTheme="minorHAnsi" w:eastAsia="Calibri" w:hAnsiTheme="minorHAnsi" w:cstheme="minorHAnsi"/>
              </w:rPr>
            </w:pPr>
            <w:r w:rsidRPr="0085391B">
              <w:rPr>
                <w:rFonts w:asciiTheme="minorHAnsi" w:eastAsia="Calibri" w:hAnsiTheme="minorHAnsi" w:cstheme="minorHAnsi"/>
              </w:rPr>
              <w:t>2017 – 2018 The attendance officer will continue with her current role during the next academic year</w:t>
            </w:r>
            <w:proofErr w:type="gramStart"/>
            <w:r w:rsidRPr="0085391B">
              <w:rPr>
                <w:rFonts w:asciiTheme="minorHAnsi" w:eastAsia="Calibri" w:hAnsiTheme="minorHAnsi" w:cstheme="minorHAnsi"/>
              </w:rPr>
              <w:t>;</w:t>
            </w:r>
            <w:proofErr w:type="gramEnd"/>
            <w:r w:rsidRPr="0085391B">
              <w:rPr>
                <w:rFonts w:asciiTheme="minorHAnsi" w:eastAsia="Calibri" w:hAnsiTheme="minorHAnsi" w:cstheme="minorHAnsi"/>
              </w:rPr>
              <w:t xml:space="preserve"> working closely with parents and families with an aim to reducing the number of families who are currently at PA to only 4 families. </w:t>
            </w:r>
          </w:p>
          <w:p w:rsidR="004E10B5" w:rsidRPr="0085391B" w:rsidRDefault="004E10B5" w:rsidP="00AC76D0">
            <w:pPr>
              <w:pStyle w:val="NoSpacing"/>
              <w:rPr>
                <w:rFonts w:cstheme="minorHAnsi"/>
                <w:sz w:val="24"/>
                <w:szCs w:val="24"/>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£4,848</w:t>
            </w:r>
          </w:p>
        </w:tc>
      </w:tr>
      <w:tr w:rsidR="004E10B5" w:rsidRPr="00326C32" w:rsidTr="004E10B5">
        <w:trPr>
          <w:trHeight w:hRule="exact" w:val="6728"/>
        </w:trPr>
        <w:tc>
          <w:tcPr>
            <w:tcW w:w="2235" w:type="dxa"/>
            <w:vMerge/>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hAnsiTheme="minorHAnsi" w:cstheme="minorHAnsi"/>
              </w:rPr>
            </w:pPr>
            <w:r w:rsidRPr="0085391B">
              <w:rPr>
                <w:rFonts w:asciiTheme="minorHAnsi" w:hAnsiTheme="minorHAnsi" w:cstheme="minorHAnsi"/>
              </w:rPr>
              <w:t xml:space="preserve">Appropriate times for interventions </w:t>
            </w:r>
            <w:proofErr w:type="gramStart"/>
            <w:r w:rsidRPr="0085391B">
              <w:rPr>
                <w:rFonts w:asciiTheme="minorHAnsi" w:hAnsiTheme="minorHAnsi" w:cstheme="minorHAnsi"/>
              </w:rPr>
              <w:t>will be discussed</w:t>
            </w:r>
            <w:proofErr w:type="gramEnd"/>
            <w:r w:rsidRPr="0085391B">
              <w:rPr>
                <w:rFonts w:asciiTheme="minorHAnsi" w:hAnsiTheme="minorHAnsi" w:cstheme="minorHAnsi"/>
              </w:rPr>
              <w:t xml:space="preserve"> with families on an individual basis to increase attendance. E.g. before school, after school, lunchtimes.</w:t>
            </w:r>
            <w:r w:rsidRPr="0085391B">
              <w:rPr>
                <w:rFonts w:asciiTheme="minorHAnsi" w:hAnsiTheme="minorHAnsi" w:cstheme="minorHAnsi"/>
                <w:color w:val="44546A" w:themeColor="text2"/>
              </w:rPr>
              <w:t xml:space="preserve"> </w:t>
            </w:r>
          </w:p>
          <w:p w:rsidR="004E10B5" w:rsidRPr="0085391B" w:rsidRDefault="004E10B5" w:rsidP="00AC76D0">
            <w:pPr>
              <w:rPr>
                <w:rFonts w:asciiTheme="minorHAnsi" w:hAnsiTheme="minorHAnsi" w:cstheme="minorHAnsi"/>
              </w:rPr>
            </w:pP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The timings for 1 intervention was moved to break time rather than before school as the </w:t>
            </w:r>
            <w:proofErr w:type="gramStart"/>
            <w:r w:rsidRPr="0085391B">
              <w:rPr>
                <w:rFonts w:asciiTheme="minorHAnsi" w:hAnsiTheme="minorHAnsi" w:cstheme="minorHAnsi"/>
              </w:rPr>
              <w:t>children</w:t>
            </w:r>
            <w:proofErr w:type="gramEnd"/>
            <w:r w:rsidRPr="0085391B">
              <w:rPr>
                <w:rFonts w:asciiTheme="minorHAnsi" w:hAnsiTheme="minorHAnsi" w:cstheme="minorHAnsi"/>
              </w:rPr>
              <w:t xml:space="preserve"> struggles to attend and the families preferred this.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1 PP child can to school from 8:30 to access additional reading support. She required transportation as she was out of area and was frequently late or did not attend if she could not arrive at 8:30.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Family learning interventions timings considered with both drop-off times 8:50 and school closing time 3:20 so parents </w:t>
            </w:r>
            <w:proofErr w:type="gramStart"/>
            <w:r w:rsidRPr="0085391B">
              <w:rPr>
                <w:rFonts w:asciiTheme="minorHAnsi" w:hAnsiTheme="minorHAnsi" w:cstheme="minorHAnsi"/>
              </w:rPr>
              <w:t>didn’t</w:t>
            </w:r>
            <w:proofErr w:type="gramEnd"/>
            <w:r w:rsidRPr="0085391B">
              <w:rPr>
                <w:rFonts w:asciiTheme="minorHAnsi" w:hAnsiTheme="minorHAnsi" w:cstheme="minorHAnsi"/>
              </w:rPr>
              <w:t xml:space="preserve"> need to make frequent journeys to and from school.</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The SLT make themselves available to meet with families throughout the day.   </w:t>
            </w:r>
          </w:p>
        </w:tc>
        <w:tc>
          <w:tcPr>
            <w:tcW w:w="552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School will continue to work closely with families and encourage attendance at events. Some events </w:t>
            </w:r>
            <w:proofErr w:type="gramStart"/>
            <w:r w:rsidRPr="0085391B">
              <w:rPr>
                <w:rFonts w:asciiTheme="minorHAnsi" w:hAnsiTheme="minorHAnsi" w:cstheme="minorHAnsi"/>
              </w:rPr>
              <w:t>were poorly attended</w:t>
            </w:r>
            <w:proofErr w:type="gramEnd"/>
            <w:r w:rsidRPr="0085391B">
              <w:rPr>
                <w:rFonts w:asciiTheme="minorHAnsi" w:hAnsiTheme="minorHAnsi" w:cstheme="minorHAnsi"/>
              </w:rPr>
              <w:t xml:space="preserve"> during this school year. Some families did not watch class assemblies and school Christmas productions.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2017-2018 Staff will encourage parents to attend by advertising timings with as much notice as possible. Attendance to events </w:t>
            </w:r>
            <w:proofErr w:type="gramStart"/>
            <w:r w:rsidRPr="0085391B">
              <w:rPr>
                <w:rFonts w:asciiTheme="minorHAnsi" w:hAnsiTheme="minorHAnsi" w:cstheme="minorHAnsi"/>
              </w:rPr>
              <w:t>will be opened up</w:t>
            </w:r>
            <w:proofErr w:type="gramEnd"/>
            <w:r w:rsidRPr="0085391B">
              <w:rPr>
                <w:rFonts w:asciiTheme="minorHAnsi" w:hAnsiTheme="minorHAnsi" w:cstheme="minorHAnsi"/>
              </w:rPr>
              <w:t xml:space="preserve"> to wider family members (grandparents, aunties and uncles) so more children can experience sharing events with family.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Questionnaires </w:t>
            </w:r>
            <w:proofErr w:type="gramStart"/>
            <w:r w:rsidRPr="0085391B">
              <w:rPr>
                <w:rFonts w:asciiTheme="minorHAnsi" w:hAnsiTheme="minorHAnsi" w:cstheme="minorHAnsi"/>
              </w:rPr>
              <w:t>will be completed</w:t>
            </w:r>
            <w:proofErr w:type="gramEnd"/>
            <w:r w:rsidRPr="0085391B">
              <w:rPr>
                <w:rFonts w:asciiTheme="minorHAnsi" w:hAnsiTheme="minorHAnsi" w:cstheme="minorHAnsi"/>
              </w:rPr>
              <w:t xml:space="preserve"> after events to give honest feedback. This will shape the organisation for future events. </w:t>
            </w:r>
          </w:p>
          <w:p w:rsidR="004E10B5" w:rsidRPr="0085391B" w:rsidRDefault="004E10B5" w:rsidP="00AC76D0">
            <w:pPr>
              <w:rPr>
                <w:rFonts w:asciiTheme="minorHAnsi" w:hAnsiTheme="minorHAnsi" w:cstheme="minorHAnsi"/>
              </w:rPr>
            </w:pPr>
          </w:p>
          <w:p w:rsidR="004E10B5" w:rsidRPr="0085391B" w:rsidRDefault="004E10B5" w:rsidP="00AC76D0">
            <w:pPr>
              <w:rPr>
                <w:rFonts w:asciiTheme="minorHAnsi" w:hAnsiTheme="minorHAnsi" w:cstheme="minorHAnsi"/>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Delegated school budget</w:t>
            </w:r>
          </w:p>
        </w:tc>
      </w:tr>
      <w:tr w:rsidR="004E10B5" w:rsidRPr="00326C32" w:rsidTr="004E10B5">
        <w:trPr>
          <w:trHeight w:hRule="exact" w:val="8429"/>
        </w:trPr>
        <w:tc>
          <w:tcPr>
            <w:tcW w:w="2235" w:type="dxa"/>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spacing w:after="0"/>
              <w:rPr>
                <w:rFonts w:asciiTheme="minorHAnsi" w:hAnsiTheme="minorHAnsi" w:cstheme="minorHAnsi"/>
                <w:color w:val="000000" w:themeColor="text1"/>
              </w:rPr>
            </w:pPr>
            <w:proofErr w:type="gramStart"/>
            <w:r w:rsidRPr="0085391B">
              <w:rPr>
                <w:rFonts w:asciiTheme="minorHAnsi" w:hAnsiTheme="minorHAnsi" w:cstheme="minorHAnsi"/>
                <w:color w:val="000000" w:themeColor="text1"/>
              </w:rPr>
              <w:t>Learning</w:t>
            </w:r>
            <w:proofErr w:type="gramEnd"/>
            <w:r w:rsidRPr="0085391B">
              <w:rPr>
                <w:rFonts w:asciiTheme="minorHAnsi" w:hAnsiTheme="minorHAnsi" w:cstheme="minorHAnsi"/>
                <w:color w:val="000000" w:themeColor="text1"/>
              </w:rPr>
              <w:t xml:space="preserve"> mentor to support children with making and maintaining friendships and promoting positive behaviours in school. </w:t>
            </w:r>
          </w:p>
          <w:p w:rsidR="004E10B5" w:rsidRPr="0085391B" w:rsidRDefault="004E10B5" w:rsidP="00AC76D0">
            <w:pPr>
              <w:rPr>
                <w:rFonts w:asciiTheme="minorHAnsi" w:hAnsiTheme="minorHAnsi" w:cstheme="minorHAnsi"/>
              </w:rPr>
            </w:pP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The learning mentor role ran from September to February full-time with part-time initiatives running into the summer term. Children and families were able to access a host of events. These included interactive and themed assemblies, family based ICT and Maths learning, Fun with Food cooking club, Reach for the Stars aspirational programme, 1:1 support for children as a when required (drop-in), break and lunchtime support for conflict resolution, 1:1 regular contact, small group support on friendship groups and friendship dynamics. </w:t>
            </w:r>
          </w:p>
        </w:tc>
        <w:tc>
          <w:tcPr>
            <w:tcW w:w="552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In </w:t>
            </w:r>
            <w:proofErr w:type="gramStart"/>
            <w:r w:rsidRPr="0085391B">
              <w:rPr>
                <w:rFonts w:asciiTheme="minorHAnsi" w:hAnsiTheme="minorHAnsi" w:cstheme="minorHAnsi"/>
              </w:rPr>
              <w:t>school</w:t>
            </w:r>
            <w:proofErr w:type="gramEnd"/>
            <w:r w:rsidRPr="0085391B">
              <w:rPr>
                <w:rFonts w:asciiTheme="minorHAnsi" w:hAnsiTheme="minorHAnsi" w:cstheme="minorHAnsi"/>
              </w:rPr>
              <w:t xml:space="preserve"> we have seen an increase in the number of pupils requiring access to support from the Social, emotion and mental health services. Some are currently having or awaiting CAMHs support. </w:t>
            </w:r>
          </w:p>
          <w:p w:rsidR="004E10B5" w:rsidRPr="0085391B" w:rsidRDefault="004E10B5" w:rsidP="00AC76D0">
            <w:pPr>
              <w:rPr>
                <w:rFonts w:asciiTheme="minorHAnsi" w:hAnsiTheme="minorHAnsi" w:cstheme="minorHAnsi"/>
              </w:rPr>
            </w:pPr>
            <w:r w:rsidRPr="0085391B">
              <w:rPr>
                <w:rFonts w:asciiTheme="minorHAnsi" w:hAnsiTheme="minorHAnsi" w:cstheme="minorHAnsi"/>
              </w:rPr>
              <w:t>In 2017-2018 – school will work closely with :</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 xml:space="preserve">CAMHs school nurse practitioners to run parent workshops around anxiety and sleep disorders. They will also run 1:1 sessions with parents and children. </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 xml:space="preserve">School staff will attend up to 10 CAMHs training sessions. </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 xml:space="preserve">C-FIT to provide 1:1 support for children around their own personal worries and anxieties. </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 xml:space="preserve">A Play Therapist will increase her working hours to support </w:t>
            </w:r>
            <w:proofErr w:type="gramStart"/>
            <w:r w:rsidRPr="0085391B">
              <w:rPr>
                <w:rFonts w:asciiTheme="minorHAnsi" w:hAnsiTheme="minorHAnsi" w:cstheme="minorHAnsi"/>
              </w:rPr>
              <w:t>4</w:t>
            </w:r>
            <w:proofErr w:type="gramEnd"/>
            <w:r w:rsidRPr="0085391B">
              <w:rPr>
                <w:rFonts w:asciiTheme="minorHAnsi" w:hAnsiTheme="minorHAnsi" w:cstheme="minorHAnsi"/>
              </w:rPr>
              <w:t xml:space="preserve"> children per week. </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Lego Therapy will run with additional groups accessing the social communication and interaction intervention.</w:t>
            </w:r>
          </w:p>
          <w:p w:rsidR="004E10B5" w:rsidRPr="0085391B" w:rsidRDefault="004E10B5" w:rsidP="004E10B5">
            <w:pPr>
              <w:pStyle w:val="ListParagraph"/>
              <w:numPr>
                <w:ilvl w:val="0"/>
                <w:numId w:val="14"/>
              </w:numPr>
              <w:rPr>
                <w:rFonts w:asciiTheme="minorHAnsi" w:hAnsiTheme="minorHAnsi" w:cstheme="minorHAnsi"/>
              </w:rPr>
            </w:pPr>
            <w:r w:rsidRPr="0085391B">
              <w:rPr>
                <w:rFonts w:asciiTheme="minorHAnsi" w:hAnsiTheme="minorHAnsi" w:cstheme="minorHAnsi"/>
              </w:rPr>
              <w:t xml:space="preserve">The ASD coffee morning will continue to run with a view to parents supporting a SEND open morning. </w:t>
            </w: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£5,000</w:t>
            </w:r>
          </w:p>
        </w:tc>
      </w:tr>
      <w:tr w:rsidR="004E10B5" w:rsidRPr="00326C32" w:rsidTr="004E10B5">
        <w:trPr>
          <w:trHeight w:hRule="exact" w:val="6870"/>
        </w:trPr>
        <w:tc>
          <w:tcPr>
            <w:tcW w:w="2235" w:type="dxa"/>
            <w:tcMar>
              <w:top w:w="57" w:type="dxa"/>
              <w:bottom w:w="57" w:type="dxa"/>
            </w:tcMar>
          </w:tcPr>
          <w:p w:rsidR="004E10B5" w:rsidRPr="0085391B" w:rsidRDefault="004E10B5" w:rsidP="00AC76D0">
            <w:pPr>
              <w:rPr>
                <w:rFonts w:asciiTheme="minorHAnsi" w:hAnsiTheme="minorHAnsi" w:cstheme="minorHAnsi"/>
              </w:rPr>
            </w:pPr>
          </w:p>
        </w:tc>
        <w:tc>
          <w:tcPr>
            <w:tcW w:w="1984" w:type="dxa"/>
            <w:tcMar>
              <w:top w:w="57" w:type="dxa"/>
              <w:bottom w:w="57" w:type="dxa"/>
            </w:tcMar>
          </w:tcPr>
          <w:p w:rsidR="004E10B5" w:rsidRPr="0085391B" w:rsidRDefault="004E10B5" w:rsidP="00AC76D0">
            <w:pPr>
              <w:pStyle w:val="NoSpacing"/>
              <w:rPr>
                <w:rFonts w:cstheme="minorHAnsi"/>
                <w:sz w:val="24"/>
                <w:szCs w:val="24"/>
              </w:rPr>
            </w:pPr>
            <w:r w:rsidRPr="0085391B">
              <w:rPr>
                <w:rFonts w:eastAsia="Calibri" w:cstheme="minorHAnsi"/>
                <w:sz w:val="24"/>
                <w:szCs w:val="24"/>
              </w:rPr>
              <w:t>Curriculum Enhancement e.g., curriculum visits to places of interest, out of school activities, residential, in school visits from professionals, music tuition, specialised curriculum instructors (language, dance and sport teachers) etc.</w:t>
            </w:r>
            <w:r w:rsidRPr="0085391B">
              <w:rPr>
                <w:rFonts w:cstheme="minorHAnsi"/>
                <w:sz w:val="24"/>
                <w:szCs w:val="24"/>
              </w:rPr>
              <w:t xml:space="preserve"> </w:t>
            </w:r>
          </w:p>
          <w:p w:rsidR="004E10B5" w:rsidRPr="0085391B" w:rsidRDefault="004E10B5" w:rsidP="00AC76D0">
            <w:pPr>
              <w:pStyle w:val="NoSpacing"/>
              <w:rPr>
                <w:rFonts w:cstheme="minorHAnsi"/>
                <w:sz w:val="24"/>
                <w:szCs w:val="24"/>
              </w:rPr>
            </w:pPr>
          </w:p>
          <w:p w:rsidR="004E10B5" w:rsidRPr="0085391B" w:rsidRDefault="004E10B5" w:rsidP="00AC76D0">
            <w:pPr>
              <w:pStyle w:val="NoSpacing"/>
              <w:rPr>
                <w:rFonts w:cstheme="minorHAnsi"/>
                <w:sz w:val="24"/>
                <w:szCs w:val="24"/>
              </w:rPr>
            </w:pPr>
            <w:r w:rsidRPr="0085391B">
              <w:rPr>
                <w:rFonts w:cstheme="minorHAnsi"/>
                <w:sz w:val="24"/>
                <w:szCs w:val="24"/>
              </w:rPr>
              <w:t>Curriculum enrichment activities such as performances, themed days etc.</w:t>
            </w:r>
          </w:p>
        </w:tc>
        <w:tc>
          <w:tcPr>
            <w:tcW w:w="4678" w:type="dxa"/>
            <w:tcMar>
              <w:top w:w="57" w:type="dxa"/>
              <w:bottom w:w="57" w:type="dxa"/>
            </w:tcMar>
          </w:tcPr>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Last academic year all children had the opportunity to </w:t>
            </w:r>
            <w:proofErr w:type="gramStart"/>
            <w:r w:rsidRPr="0085391B">
              <w:rPr>
                <w:rFonts w:asciiTheme="minorHAnsi" w:hAnsiTheme="minorHAnsi" w:cstheme="minorHAnsi"/>
              </w:rPr>
              <w:t>take</w:t>
            </w:r>
            <w:proofErr w:type="gramEnd"/>
            <w:r w:rsidRPr="0085391B">
              <w:rPr>
                <w:rFonts w:asciiTheme="minorHAnsi" w:hAnsiTheme="minorHAnsi" w:cstheme="minorHAnsi"/>
              </w:rPr>
              <w:t xml:space="preserve"> part in extra-curricular off site visits which enhance the curriculum. These were subsidised for PP children when necessary.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Whole school events took place such as NSPCC fund raising, Dance Nation, Music Concerts, MFL celebrations, Science &amp; Art weeks, Sports and DT week, e-safety assemblies for children and parents and festive celebrations; to name a few.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Children have benefitted from having specialised teaching in music, dance and languages. The curriculum </w:t>
            </w:r>
            <w:proofErr w:type="gramStart"/>
            <w:r w:rsidRPr="0085391B">
              <w:rPr>
                <w:rFonts w:asciiTheme="minorHAnsi" w:hAnsiTheme="minorHAnsi" w:cstheme="minorHAnsi"/>
              </w:rPr>
              <w:t>is planned and taught by professionals in these areas</w:t>
            </w:r>
            <w:proofErr w:type="gramEnd"/>
            <w:r w:rsidRPr="0085391B">
              <w:rPr>
                <w:rFonts w:asciiTheme="minorHAnsi" w:hAnsiTheme="minorHAnsi" w:cstheme="minorHAnsi"/>
              </w:rPr>
              <w:t xml:space="preserve">.  </w:t>
            </w:r>
          </w:p>
          <w:p w:rsidR="004E10B5" w:rsidRPr="0085391B" w:rsidRDefault="004E10B5" w:rsidP="00AC76D0">
            <w:pPr>
              <w:rPr>
                <w:rFonts w:asciiTheme="minorHAnsi" w:hAnsiTheme="minorHAnsi" w:cstheme="minorHAnsi"/>
              </w:rPr>
            </w:pPr>
          </w:p>
        </w:tc>
        <w:tc>
          <w:tcPr>
            <w:tcW w:w="5528" w:type="dxa"/>
            <w:tcMar>
              <w:top w:w="57" w:type="dxa"/>
              <w:bottom w:w="57" w:type="dxa"/>
            </w:tcMar>
          </w:tcPr>
          <w:p w:rsidR="004E10B5" w:rsidRDefault="004E10B5" w:rsidP="00AC76D0">
            <w:pPr>
              <w:rPr>
                <w:rFonts w:asciiTheme="minorHAnsi" w:hAnsiTheme="minorHAnsi" w:cstheme="minorHAnsi"/>
              </w:rPr>
            </w:pPr>
            <w:r w:rsidRPr="0085391B">
              <w:rPr>
                <w:rFonts w:asciiTheme="minorHAnsi" w:hAnsiTheme="minorHAnsi" w:cstheme="minorHAnsi"/>
              </w:rPr>
              <w:t xml:space="preserve">Pupil voice tells us that children thoroughly enjoy these events. </w:t>
            </w:r>
            <w:proofErr w:type="gramStart"/>
            <w:r w:rsidRPr="0085391B">
              <w:rPr>
                <w:rFonts w:asciiTheme="minorHAnsi" w:hAnsiTheme="minorHAnsi" w:cstheme="minorHAnsi"/>
              </w:rPr>
              <w:t>Lessons are enhanced by practical resources</w:t>
            </w:r>
            <w:proofErr w:type="gramEnd"/>
            <w:r w:rsidRPr="0085391B">
              <w:rPr>
                <w:rFonts w:asciiTheme="minorHAnsi" w:hAnsiTheme="minorHAnsi" w:cstheme="minorHAnsi"/>
              </w:rPr>
              <w:t xml:space="preserve"> and external visits give children first-hand real-life experiences. </w:t>
            </w:r>
          </w:p>
          <w:p w:rsidR="004E10B5" w:rsidRPr="0085391B" w:rsidRDefault="004E10B5" w:rsidP="00AC76D0">
            <w:pPr>
              <w:rPr>
                <w:rFonts w:asciiTheme="minorHAnsi" w:hAnsiTheme="minorHAnsi" w:cstheme="minorHAnsi"/>
              </w:rPr>
            </w:pPr>
            <w:r>
              <w:rPr>
                <w:rFonts w:asciiTheme="minorHAnsi" w:hAnsiTheme="minorHAnsi" w:cstheme="minorHAnsi"/>
              </w:rPr>
              <w:t xml:space="preserve">During 2016-2017, 33 pupil premium children attended regular after school clubs. </w:t>
            </w:r>
          </w:p>
          <w:p w:rsidR="004E10B5" w:rsidRPr="0085391B" w:rsidRDefault="004E10B5" w:rsidP="00AC76D0">
            <w:pPr>
              <w:rPr>
                <w:rFonts w:asciiTheme="minorHAnsi" w:hAnsiTheme="minorHAnsi" w:cstheme="minorHAnsi"/>
              </w:rPr>
            </w:pPr>
            <w:r w:rsidRPr="0085391B">
              <w:rPr>
                <w:rFonts w:asciiTheme="minorHAnsi" w:hAnsiTheme="minorHAnsi" w:cstheme="minorHAnsi"/>
              </w:rPr>
              <w:t xml:space="preserve">2017-2018 - A broad and balanced curriculum </w:t>
            </w:r>
            <w:proofErr w:type="gramStart"/>
            <w:r w:rsidRPr="0085391B">
              <w:rPr>
                <w:rFonts w:asciiTheme="minorHAnsi" w:hAnsiTheme="minorHAnsi" w:cstheme="minorHAnsi"/>
              </w:rPr>
              <w:t>is planned</w:t>
            </w:r>
            <w:proofErr w:type="gramEnd"/>
            <w:r w:rsidRPr="0085391B">
              <w:rPr>
                <w:rFonts w:asciiTheme="minorHAnsi" w:hAnsiTheme="minorHAnsi" w:cstheme="minorHAnsi"/>
              </w:rPr>
              <w:t xml:space="preserve"> with multiple events taking place throughout the year. Themed </w:t>
            </w:r>
            <w:proofErr w:type="gramStart"/>
            <w:r w:rsidRPr="0085391B">
              <w:rPr>
                <w:rFonts w:asciiTheme="minorHAnsi" w:hAnsiTheme="minorHAnsi" w:cstheme="minorHAnsi"/>
              </w:rPr>
              <w:t>foundation stage subject weeks</w:t>
            </w:r>
            <w:proofErr w:type="gramEnd"/>
            <w:r w:rsidRPr="0085391B">
              <w:rPr>
                <w:rFonts w:asciiTheme="minorHAnsi" w:hAnsiTheme="minorHAnsi" w:cstheme="minorHAnsi"/>
              </w:rPr>
              <w:t xml:space="preserve"> are planned for with weekly assemblies to celebrate individual success. Specialised subject teaching will continue in French, Mandarin and sport with class teachers sharing their own subject specialism by teaching groups/classes across school.     </w:t>
            </w:r>
          </w:p>
          <w:p w:rsidR="004E10B5" w:rsidRPr="0085391B" w:rsidRDefault="004E10B5" w:rsidP="00AC76D0">
            <w:pPr>
              <w:rPr>
                <w:rFonts w:asciiTheme="minorHAnsi" w:hAnsiTheme="minorHAnsi" w:cstheme="minorHAnsi"/>
              </w:rPr>
            </w:pPr>
          </w:p>
        </w:tc>
        <w:tc>
          <w:tcPr>
            <w:tcW w:w="1134" w:type="dxa"/>
          </w:tcPr>
          <w:p w:rsidR="004E10B5" w:rsidRPr="0085391B" w:rsidRDefault="004E10B5" w:rsidP="00AC76D0">
            <w:pPr>
              <w:rPr>
                <w:rFonts w:asciiTheme="minorHAnsi" w:hAnsiTheme="minorHAnsi" w:cstheme="minorHAnsi"/>
              </w:rPr>
            </w:pPr>
            <w:r w:rsidRPr="0085391B">
              <w:rPr>
                <w:rFonts w:asciiTheme="minorHAnsi" w:hAnsiTheme="minorHAnsi" w:cstheme="minorHAnsi"/>
              </w:rPr>
              <w:t>Delegated school budget</w:t>
            </w:r>
          </w:p>
        </w:tc>
      </w:tr>
    </w:tbl>
    <w:p w:rsidR="004E10B5" w:rsidRDefault="004E10B5" w:rsidP="004E10B5">
      <w:pPr>
        <w:spacing w:after="200" w:line="276" w:lineRule="auto"/>
        <w:rPr>
          <w:rFonts w:cs="Arial"/>
        </w:rPr>
      </w:pPr>
    </w:p>
    <w:p w:rsidR="004E10B5" w:rsidRDefault="004E10B5" w:rsidP="004E10B5">
      <w:pPr>
        <w:spacing w:after="200" w:line="276" w:lineRule="auto"/>
        <w:rPr>
          <w:rFonts w:cs="Arial"/>
        </w:rPr>
      </w:pPr>
    </w:p>
    <w:p w:rsidR="004E10B5" w:rsidRDefault="004E10B5" w:rsidP="004E10B5">
      <w:pPr>
        <w:spacing w:after="200" w:line="276" w:lineRule="auto"/>
        <w:rPr>
          <w:rFonts w:cs="Arial"/>
        </w:rPr>
      </w:pPr>
    </w:p>
    <w:p w:rsidR="004E10B5" w:rsidRDefault="004E10B5" w:rsidP="004E10B5">
      <w:pPr>
        <w:spacing w:after="200" w:line="276" w:lineRule="auto"/>
        <w:rPr>
          <w:rFonts w:cs="Arial"/>
        </w:rPr>
      </w:pPr>
    </w:p>
    <w:p w:rsidR="004E10B5" w:rsidRDefault="004E10B5" w:rsidP="004E10B5">
      <w:pPr>
        <w:spacing w:after="200" w:line="276" w:lineRule="auto"/>
        <w:rPr>
          <w:rFonts w:cs="Arial"/>
        </w:rPr>
      </w:pPr>
    </w:p>
    <w:p w:rsidR="004E10B5" w:rsidRPr="00326C32" w:rsidRDefault="004E10B5" w:rsidP="004E10B5">
      <w:pPr>
        <w:spacing w:after="200" w:line="276" w:lineRule="auto"/>
        <w:rPr>
          <w:rFonts w:cs="Arial"/>
        </w:rPr>
      </w:pPr>
    </w:p>
    <w:tbl>
      <w:tblPr>
        <w:tblStyle w:val="TableGrid"/>
        <w:tblW w:w="15446" w:type="dxa"/>
        <w:tblLayout w:type="fixed"/>
        <w:tblLook w:val="04A0" w:firstRow="1" w:lastRow="0" w:firstColumn="1" w:lastColumn="0" w:noHBand="0" w:noVBand="1"/>
      </w:tblPr>
      <w:tblGrid>
        <w:gridCol w:w="15446"/>
      </w:tblGrid>
      <w:tr w:rsidR="004E10B5" w:rsidRPr="00326C32" w:rsidTr="00AC76D0">
        <w:tc>
          <w:tcPr>
            <w:tcW w:w="15446" w:type="dxa"/>
            <w:shd w:val="clear" w:color="auto" w:fill="CFDCE3"/>
            <w:tcMar>
              <w:top w:w="57" w:type="dxa"/>
              <w:bottom w:w="57" w:type="dxa"/>
            </w:tcMar>
          </w:tcPr>
          <w:p w:rsidR="004E10B5" w:rsidRPr="00326C32" w:rsidRDefault="004E10B5" w:rsidP="004E10B5">
            <w:pPr>
              <w:pStyle w:val="ListParagraph"/>
              <w:numPr>
                <w:ilvl w:val="0"/>
                <w:numId w:val="3"/>
              </w:numPr>
              <w:spacing w:after="0" w:line="240" w:lineRule="auto"/>
              <w:ind w:left="567"/>
              <w:contextualSpacing w:val="0"/>
              <w:rPr>
                <w:rFonts w:cs="Arial"/>
                <w:b/>
              </w:rPr>
            </w:pPr>
            <w:r w:rsidRPr="00326C32">
              <w:rPr>
                <w:rFonts w:cs="Arial"/>
                <w:b/>
              </w:rPr>
              <w:t>Additional detail</w:t>
            </w:r>
          </w:p>
        </w:tc>
      </w:tr>
      <w:tr w:rsidR="004E10B5" w:rsidRPr="00326C32" w:rsidTr="00AC76D0">
        <w:tc>
          <w:tcPr>
            <w:tcW w:w="15446" w:type="dxa"/>
            <w:shd w:val="clear" w:color="auto" w:fill="auto"/>
            <w:tcMar>
              <w:top w:w="57" w:type="dxa"/>
              <w:bottom w:w="57" w:type="dxa"/>
            </w:tcMar>
          </w:tcPr>
          <w:p w:rsidR="004E10B5" w:rsidRDefault="004E10B5" w:rsidP="00AC76D0">
            <w:pPr>
              <w:rPr>
                <w:rFonts w:cs="Arial"/>
              </w:rPr>
            </w:pPr>
            <w:r w:rsidRPr="00326C32">
              <w:rPr>
                <w:rFonts w:cs="Arial"/>
              </w:rPr>
              <w:t xml:space="preserve">In this </w:t>
            </w:r>
            <w:proofErr w:type="gramStart"/>
            <w:r w:rsidRPr="00326C32">
              <w:rPr>
                <w:rFonts w:cs="Arial"/>
              </w:rPr>
              <w:t>section</w:t>
            </w:r>
            <w:proofErr w:type="gramEnd"/>
            <w:r w:rsidRPr="00326C32">
              <w:rPr>
                <w:rFonts w:cs="Arial"/>
              </w:rPr>
              <w:t xml:space="preserve"> you can annex or refer to </w:t>
            </w:r>
            <w:r w:rsidRPr="00326C32">
              <w:rPr>
                <w:rFonts w:cs="Arial"/>
                <w:b/>
              </w:rPr>
              <w:t>additional</w:t>
            </w:r>
            <w:r w:rsidRPr="00326C32">
              <w:rPr>
                <w:rFonts w:cs="Arial"/>
              </w:rPr>
              <w:t xml:space="preserve"> information which you have used to support the sections above.</w:t>
            </w:r>
          </w:p>
          <w:tbl>
            <w:tblPr>
              <w:tblStyle w:val="TableGrid"/>
              <w:tblW w:w="15192" w:type="dxa"/>
              <w:tblLayout w:type="fixed"/>
              <w:tblLook w:val="04A0" w:firstRow="1" w:lastRow="0" w:firstColumn="1" w:lastColumn="0" w:noHBand="0" w:noVBand="1"/>
            </w:tblPr>
            <w:tblGrid>
              <w:gridCol w:w="448"/>
              <w:gridCol w:w="1114"/>
              <w:gridCol w:w="19"/>
              <w:gridCol w:w="1275"/>
              <w:gridCol w:w="1118"/>
              <w:gridCol w:w="15"/>
              <w:gridCol w:w="1276"/>
              <w:gridCol w:w="6"/>
              <w:gridCol w:w="1275"/>
              <w:gridCol w:w="1275"/>
              <w:gridCol w:w="1276"/>
              <w:gridCol w:w="1134"/>
              <w:gridCol w:w="1276"/>
              <w:gridCol w:w="1134"/>
              <w:gridCol w:w="14"/>
              <w:gridCol w:w="1262"/>
              <w:gridCol w:w="1275"/>
            </w:tblGrid>
            <w:tr w:rsidR="004E10B5" w:rsidTr="00AC76D0">
              <w:trPr>
                <w:trHeight w:val="278"/>
              </w:trPr>
              <w:tc>
                <w:tcPr>
                  <w:tcW w:w="15192" w:type="dxa"/>
                  <w:gridSpan w:val="17"/>
                  <w:shd w:val="clear" w:color="auto" w:fill="92D050"/>
                </w:tcPr>
                <w:p w:rsidR="004E10B5" w:rsidRPr="005F4E02" w:rsidRDefault="004E10B5" w:rsidP="00AC76D0">
                  <w:pPr>
                    <w:jc w:val="center"/>
                    <w:rPr>
                      <w:b/>
                    </w:rPr>
                  </w:pPr>
                  <w:r>
                    <w:rPr>
                      <w:b/>
                    </w:rPr>
                    <w:t>Pupil Premium end of Year Attainment 2016-2017</w:t>
                  </w:r>
                </w:p>
              </w:tc>
            </w:tr>
            <w:tr w:rsidR="004E10B5" w:rsidTr="00AC76D0">
              <w:trPr>
                <w:trHeight w:val="116"/>
              </w:trPr>
              <w:tc>
                <w:tcPr>
                  <w:tcW w:w="448" w:type="dxa"/>
                  <w:vMerge w:val="restart"/>
                </w:tcPr>
                <w:p w:rsidR="004E10B5" w:rsidRDefault="004E10B5" w:rsidP="00AC76D0"/>
              </w:tc>
              <w:tc>
                <w:tcPr>
                  <w:tcW w:w="2408" w:type="dxa"/>
                  <w:gridSpan w:val="3"/>
                  <w:shd w:val="clear" w:color="auto" w:fill="92D050"/>
                  <w:vAlign w:val="center"/>
                </w:tcPr>
                <w:p w:rsidR="004E10B5" w:rsidRPr="005F4E02" w:rsidRDefault="004E10B5" w:rsidP="00AC76D0">
                  <w:pPr>
                    <w:jc w:val="center"/>
                    <w:rPr>
                      <w:b/>
                    </w:rPr>
                  </w:pPr>
                  <w:r w:rsidRPr="005F4E02">
                    <w:rPr>
                      <w:b/>
                    </w:rPr>
                    <w:t>Year 1</w:t>
                  </w:r>
                </w:p>
              </w:tc>
              <w:tc>
                <w:tcPr>
                  <w:tcW w:w="2415" w:type="dxa"/>
                  <w:gridSpan w:val="4"/>
                  <w:shd w:val="clear" w:color="auto" w:fill="92D050"/>
                  <w:vAlign w:val="center"/>
                </w:tcPr>
                <w:p w:rsidR="004E10B5" w:rsidRPr="005F4E02" w:rsidRDefault="004E10B5" w:rsidP="00AC76D0">
                  <w:pPr>
                    <w:jc w:val="center"/>
                    <w:rPr>
                      <w:b/>
                    </w:rPr>
                  </w:pPr>
                  <w:r w:rsidRPr="005F4E02">
                    <w:rPr>
                      <w:b/>
                    </w:rPr>
                    <w:t>Year 2</w:t>
                  </w:r>
                </w:p>
              </w:tc>
              <w:tc>
                <w:tcPr>
                  <w:tcW w:w="2550" w:type="dxa"/>
                  <w:gridSpan w:val="2"/>
                  <w:shd w:val="clear" w:color="auto" w:fill="92D050"/>
                  <w:vAlign w:val="center"/>
                </w:tcPr>
                <w:p w:rsidR="004E10B5" w:rsidRPr="005F4E02" w:rsidRDefault="004E10B5" w:rsidP="00AC76D0">
                  <w:pPr>
                    <w:jc w:val="center"/>
                    <w:rPr>
                      <w:b/>
                    </w:rPr>
                  </w:pPr>
                  <w:r w:rsidRPr="005F4E02">
                    <w:rPr>
                      <w:b/>
                    </w:rPr>
                    <w:t>Year 3</w:t>
                  </w:r>
                </w:p>
              </w:tc>
              <w:tc>
                <w:tcPr>
                  <w:tcW w:w="2410" w:type="dxa"/>
                  <w:gridSpan w:val="2"/>
                  <w:shd w:val="clear" w:color="auto" w:fill="92D050"/>
                  <w:vAlign w:val="center"/>
                </w:tcPr>
                <w:p w:rsidR="004E10B5" w:rsidRPr="005F4E02" w:rsidRDefault="004E10B5" w:rsidP="00AC76D0">
                  <w:pPr>
                    <w:jc w:val="center"/>
                    <w:rPr>
                      <w:b/>
                    </w:rPr>
                  </w:pPr>
                  <w:r w:rsidRPr="005F4E02">
                    <w:rPr>
                      <w:b/>
                    </w:rPr>
                    <w:t>Year 4</w:t>
                  </w:r>
                </w:p>
              </w:tc>
              <w:tc>
                <w:tcPr>
                  <w:tcW w:w="2410" w:type="dxa"/>
                  <w:gridSpan w:val="2"/>
                  <w:shd w:val="clear" w:color="auto" w:fill="92D050"/>
                  <w:vAlign w:val="center"/>
                </w:tcPr>
                <w:p w:rsidR="004E10B5" w:rsidRPr="005F4E02" w:rsidRDefault="004E10B5" w:rsidP="00AC76D0">
                  <w:pPr>
                    <w:jc w:val="center"/>
                    <w:rPr>
                      <w:b/>
                    </w:rPr>
                  </w:pPr>
                  <w:r w:rsidRPr="005F4E02">
                    <w:rPr>
                      <w:b/>
                    </w:rPr>
                    <w:t>Year 5</w:t>
                  </w:r>
                </w:p>
              </w:tc>
              <w:tc>
                <w:tcPr>
                  <w:tcW w:w="2551" w:type="dxa"/>
                  <w:gridSpan w:val="3"/>
                  <w:shd w:val="clear" w:color="auto" w:fill="92D050"/>
                  <w:vAlign w:val="center"/>
                </w:tcPr>
                <w:p w:rsidR="004E10B5" w:rsidRPr="005F4E02" w:rsidRDefault="004E10B5" w:rsidP="00AC76D0">
                  <w:pPr>
                    <w:jc w:val="center"/>
                    <w:rPr>
                      <w:b/>
                    </w:rPr>
                  </w:pPr>
                  <w:r w:rsidRPr="005F4E02">
                    <w:rPr>
                      <w:b/>
                    </w:rPr>
                    <w:t>Year 6</w:t>
                  </w:r>
                </w:p>
              </w:tc>
            </w:tr>
            <w:tr w:rsidR="004E10B5" w:rsidTr="00AC76D0">
              <w:trPr>
                <w:trHeight w:val="536"/>
              </w:trPr>
              <w:tc>
                <w:tcPr>
                  <w:tcW w:w="448" w:type="dxa"/>
                  <w:vMerge/>
                </w:tcPr>
                <w:p w:rsidR="004E10B5" w:rsidRDefault="004E10B5" w:rsidP="00AC76D0"/>
              </w:tc>
              <w:tc>
                <w:tcPr>
                  <w:tcW w:w="1114" w:type="dxa"/>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 xml:space="preserve"> WA ARE &amp; GD</w:t>
                  </w:r>
                </w:p>
              </w:tc>
              <w:tc>
                <w:tcPr>
                  <w:tcW w:w="1294" w:type="dxa"/>
                  <w:gridSpan w:val="2"/>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c>
                <w:tcPr>
                  <w:tcW w:w="1118" w:type="dxa"/>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WA ARE &amp; GD</w:t>
                  </w:r>
                </w:p>
              </w:tc>
              <w:tc>
                <w:tcPr>
                  <w:tcW w:w="1297" w:type="dxa"/>
                  <w:gridSpan w:val="3"/>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c>
                <w:tcPr>
                  <w:tcW w:w="1275" w:type="dxa"/>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WA ARE &amp; GD</w:t>
                  </w:r>
                </w:p>
              </w:tc>
              <w:tc>
                <w:tcPr>
                  <w:tcW w:w="1275" w:type="dxa"/>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c>
                <w:tcPr>
                  <w:tcW w:w="1276" w:type="dxa"/>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WA ARE &amp; GD</w:t>
                  </w:r>
                </w:p>
              </w:tc>
              <w:tc>
                <w:tcPr>
                  <w:tcW w:w="1134" w:type="dxa"/>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c>
                <w:tcPr>
                  <w:tcW w:w="1276" w:type="dxa"/>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WA ARE &amp; GD</w:t>
                  </w:r>
                </w:p>
              </w:tc>
              <w:tc>
                <w:tcPr>
                  <w:tcW w:w="1134" w:type="dxa"/>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c>
                <w:tcPr>
                  <w:tcW w:w="1276" w:type="dxa"/>
                  <w:gridSpan w:val="2"/>
                  <w:shd w:val="clear" w:color="auto" w:fill="F2F2F2" w:themeFill="background1" w:themeFillShade="F2"/>
                  <w:vAlign w:val="center"/>
                </w:tcPr>
                <w:p w:rsidR="004E10B5" w:rsidRPr="00DB7E94" w:rsidRDefault="004E10B5" w:rsidP="00AC76D0">
                  <w:pPr>
                    <w:jc w:val="center"/>
                    <w:rPr>
                      <w:b/>
                      <w:sz w:val="20"/>
                    </w:rPr>
                  </w:pPr>
                  <w:r>
                    <w:rPr>
                      <w:b/>
                      <w:sz w:val="20"/>
                    </w:rPr>
                    <w:t xml:space="preserve">PP  </w:t>
                  </w:r>
                  <w:r w:rsidRPr="00DB7E94">
                    <w:rPr>
                      <w:b/>
                      <w:sz w:val="20"/>
                    </w:rPr>
                    <w:t xml:space="preserve"> WA ARE &amp; GD</w:t>
                  </w:r>
                </w:p>
              </w:tc>
              <w:tc>
                <w:tcPr>
                  <w:tcW w:w="1275" w:type="dxa"/>
                  <w:shd w:val="clear" w:color="auto" w:fill="F2F2F2" w:themeFill="background1" w:themeFillShade="F2"/>
                  <w:vAlign w:val="center"/>
                </w:tcPr>
                <w:p w:rsidR="004E10B5" w:rsidRPr="00DB7E94" w:rsidRDefault="004E10B5" w:rsidP="00AC76D0">
                  <w:pPr>
                    <w:jc w:val="center"/>
                    <w:rPr>
                      <w:sz w:val="20"/>
                    </w:rPr>
                  </w:pPr>
                  <w:r w:rsidRPr="00DB7E94">
                    <w:rPr>
                      <w:sz w:val="20"/>
                    </w:rPr>
                    <w:t>Non-PP WA ARE &amp; GD</w:t>
                  </w:r>
                </w:p>
              </w:tc>
            </w:tr>
            <w:tr w:rsidR="004E10B5" w:rsidTr="00AC76D0">
              <w:trPr>
                <w:trHeight w:val="438"/>
              </w:trPr>
              <w:tc>
                <w:tcPr>
                  <w:tcW w:w="448" w:type="dxa"/>
                  <w:vMerge w:val="restart"/>
                  <w:shd w:val="clear" w:color="auto" w:fill="F2F2F2" w:themeFill="background1" w:themeFillShade="F2"/>
                  <w:textDirection w:val="btLr"/>
                  <w:vAlign w:val="center"/>
                </w:tcPr>
                <w:p w:rsidR="004E10B5" w:rsidRPr="00D2006D" w:rsidRDefault="004E10B5" w:rsidP="00AC76D0">
                  <w:pPr>
                    <w:ind w:left="113" w:right="113"/>
                    <w:jc w:val="center"/>
                    <w:rPr>
                      <w:sz w:val="20"/>
                    </w:rPr>
                  </w:pPr>
                  <w:r w:rsidRPr="00D2006D">
                    <w:rPr>
                      <w:sz w:val="20"/>
                    </w:rPr>
                    <w:t>Reading</w:t>
                  </w:r>
                </w:p>
              </w:tc>
              <w:tc>
                <w:tcPr>
                  <w:tcW w:w="1133" w:type="dxa"/>
                  <w:gridSpan w:val="2"/>
                  <w:vAlign w:val="center"/>
                </w:tcPr>
                <w:p w:rsidR="004E10B5" w:rsidRPr="00305779" w:rsidRDefault="004E10B5" w:rsidP="00AC76D0">
                  <w:pPr>
                    <w:jc w:val="center"/>
                    <w:rPr>
                      <w:b/>
                      <w:sz w:val="22"/>
                    </w:rPr>
                  </w:pPr>
                  <w:r w:rsidRPr="00305779">
                    <w:rPr>
                      <w:b/>
                      <w:sz w:val="22"/>
                    </w:rPr>
                    <w:t>100% (7)</w:t>
                  </w:r>
                </w:p>
              </w:tc>
              <w:tc>
                <w:tcPr>
                  <w:tcW w:w="1275" w:type="dxa"/>
                  <w:vAlign w:val="center"/>
                </w:tcPr>
                <w:p w:rsidR="004E10B5" w:rsidRPr="00305779" w:rsidRDefault="004E10B5" w:rsidP="00AC76D0">
                  <w:pPr>
                    <w:jc w:val="center"/>
                    <w:rPr>
                      <w:b/>
                      <w:sz w:val="22"/>
                    </w:rPr>
                  </w:pPr>
                  <w:r w:rsidRPr="00305779">
                    <w:rPr>
                      <w:b/>
                      <w:sz w:val="22"/>
                    </w:rPr>
                    <w:t>80%  (35)</w:t>
                  </w:r>
                </w:p>
              </w:tc>
              <w:tc>
                <w:tcPr>
                  <w:tcW w:w="1133" w:type="dxa"/>
                  <w:gridSpan w:val="2"/>
                  <w:vAlign w:val="center"/>
                </w:tcPr>
                <w:p w:rsidR="004E10B5" w:rsidRPr="00305779" w:rsidRDefault="004E10B5" w:rsidP="00AC76D0">
                  <w:pPr>
                    <w:jc w:val="center"/>
                    <w:rPr>
                      <w:b/>
                      <w:sz w:val="22"/>
                    </w:rPr>
                  </w:pPr>
                  <w:r w:rsidRPr="00305779">
                    <w:rPr>
                      <w:b/>
                      <w:sz w:val="22"/>
                    </w:rPr>
                    <w:t>83% (6)</w:t>
                  </w:r>
                </w:p>
              </w:tc>
              <w:tc>
                <w:tcPr>
                  <w:tcW w:w="1276" w:type="dxa"/>
                  <w:vAlign w:val="center"/>
                </w:tcPr>
                <w:p w:rsidR="004E10B5" w:rsidRPr="00305779" w:rsidRDefault="004E10B5" w:rsidP="00AC76D0">
                  <w:pPr>
                    <w:jc w:val="center"/>
                    <w:rPr>
                      <w:b/>
                      <w:sz w:val="22"/>
                    </w:rPr>
                  </w:pPr>
                  <w:r w:rsidRPr="00305779">
                    <w:rPr>
                      <w:b/>
                      <w:sz w:val="22"/>
                    </w:rPr>
                    <w:t>79% (39)</w:t>
                  </w:r>
                </w:p>
              </w:tc>
              <w:tc>
                <w:tcPr>
                  <w:tcW w:w="1281" w:type="dxa"/>
                  <w:gridSpan w:val="2"/>
                  <w:vAlign w:val="center"/>
                </w:tcPr>
                <w:p w:rsidR="004E10B5" w:rsidRPr="00305779" w:rsidRDefault="004E10B5" w:rsidP="00AC76D0">
                  <w:pPr>
                    <w:jc w:val="center"/>
                    <w:rPr>
                      <w:b/>
                      <w:sz w:val="22"/>
                    </w:rPr>
                  </w:pPr>
                  <w:r w:rsidRPr="00305779">
                    <w:rPr>
                      <w:b/>
                      <w:sz w:val="22"/>
                    </w:rPr>
                    <w:t>50% (12)</w:t>
                  </w:r>
                </w:p>
              </w:tc>
              <w:tc>
                <w:tcPr>
                  <w:tcW w:w="1275" w:type="dxa"/>
                  <w:vAlign w:val="center"/>
                </w:tcPr>
                <w:p w:rsidR="004E10B5" w:rsidRPr="00305779" w:rsidRDefault="004E10B5" w:rsidP="00AC76D0">
                  <w:pPr>
                    <w:jc w:val="center"/>
                    <w:rPr>
                      <w:b/>
                      <w:sz w:val="22"/>
                    </w:rPr>
                  </w:pPr>
                  <w:r w:rsidRPr="00305779">
                    <w:rPr>
                      <w:b/>
                      <w:sz w:val="22"/>
                    </w:rPr>
                    <w:t>82% (33)</w:t>
                  </w:r>
                </w:p>
              </w:tc>
              <w:tc>
                <w:tcPr>
                  <w:tcW w:w="1276" w:type="dxa"/>
                  <w:vAlign w:val="center"/>
                </w:tcPr>
                <w:p w:rsidR="004E10B5" w:rsidRPr="00305779" w:rsidRDefault="004E10B5" w:rsidP="00AC76D0">
                  <w:pPr>
                    <w:jc w:val="center"/>
                    <w:rPr>
                      <w:b/>
                      <w:sz w:val="22"/>
                    </w:rPr>
                  </w:pPr>
                  <w:r w:rsidRPr="00305779">
                    <w:rPr>
                      <w:b/>
                      <w:sz w:val="22"/>
                    </w:rPr>
                    <w:t>75% (8)</w:t>
                  </w:r>
                </w:p>
              </w:tc>
              <w:tc>
                <w:tcPr>
                  <w:tcW w:w="1134" w:type="dxa"/>
                  <w:vAlign w:val="center"/>
                </w:tcPr>
                <w:p w:rsidR="004E10B5" w:rsidRPr="00305779" w:rsidRDefault="004E10B5" w:rsidP="00AC76D0">
                  <w:pPr>
                    <w:jc w:val="center"/>
                    <w:rPr>
                      <w:b/>
                      <w:sz w:val="22"/>
                    </w:rPr>
                  </w:pPr>
                  <w:r w:rsidRPr="00305779">
                    <w:rPr>
                      <w:b/>
                      <w:sz w:val="22"/>
                    </w:rPr>
                    <w:t>86% (37)</w:t>
                  </w:r>
                </w:p>
              </w:tc>
              <w:tc>
                <w:tcPr>
                  <w:tcW w:w="1276" w:type="dxa"/>
                  <w:vAlign w:val="center"/>
                </w:tcPr>
                <w:p w:rsidR="004E10B5" w:rsidRPr="00305779" w:rsidRDefault="004E10B5" w:rsidP="00AC76D0">
                  <w:pPr>
                    <w:jc w:val="center"/>
                    <w:rPr>
                      <w:b/>
                      <w:sz w:val="22"/>
                    </w:rPr>
                  </w:pPr>
                  <w:r w:rsidRPr="00305779">
                    <w:rPr>
                      <w:b/>
                      <w:sz w:val="22"/>
                    </w:rPr>
                    <w:t>60% (5)</w:t>
                  </w:r>
                </w:p>
              </w:tc>
              <w:tc>
                <w:tcPr>
                  <w:tcW w:w="1148" w:type="dxa"/>
                  <w:gridSpan w:val="2"/>
                  <w:vAlign w:val="center"/>
                </w:tcPr>
                <w:p w:rsidR="004E10B5" w:rsidRPr="00305779" w:rsidRDefault="004E10B5" w:rsidP="00AC76D0">
                  <w:pPr>
                    <w:jc w:val="center"/>
                    <w:rPr>
                      <w:b/>
                      <w:sz w:val="22"/>
                    </w:rPr>
                  </w:pPr>
                  <w:r w:rsidRPr="00305779">
                    <w:rPr>
                      <w:b/>
                      <w:sz w:val="22"/>
                    </w:rPr>
                    <w:t>74% (36)</w:t>
                  </w:r>
                </w:p>
              </w:tc>
              <w:tc>
                <w:tcPr>
                  <w:tcW w:w="1262" w:type="dxa"/>
                  <w:vAlign w:val="center"/>
                </w:tcPr>
                <w:p w:rsidR="004E10B5" w:rsidRPr="00305779" w:rsidRDefault="004E10B5" w:rsidP="00AC76D0">
                  <w:pPr>
                    <w:jc w:val="center"/>
                    <w:rPr>
                      <w:b/>
                      <w:sz w:val="22"/>
                    </w:rPr>
                  </w:pPr>
                  <w:r w:rsidRPr="00305779">
                    <w:rPr>
                      <w:b/>
                      <w:sz w:val="22"/>
                    </w:rPr>
                    <w:t>57% (7)</w:t>
                  </w:r>
                </w:p>
              </w:tc>
              <w:tc>
                <w:tcPr>
                  <w:tcW w:w="1275" w:type="dxa"/>
                  <w:vAlign w:val="center"/>
                </w:tcPr>
                <w:p w:rsidR="004E10B5" w:rsidRPr="00305779" w:rsidRDefault="004E10B5" w:rsidP="00AC76D0">
                  <w:pPr>
                    <w:jc w:val="center"/>
                    <w:rPr>
                      <w:b/>
                      <w:sz w:val="22"/>
                    </w:rPr>
                  </w:pPr>
                  <w:r w:rsidRPr="00305779">
                    <w:rPr>
                      <w:b/>
                      <w:sz w:val="22"/>
                    </w:rPr>
                    <w:t>81% (39)</w:t>
                  </w:r>
                </w:p>
              </w:tc>
            </w:tr>
            <w:tr w:rsidR="004E10B5" w:rsidTr="00AC76D0">
              <w:tc>
                <w:tcPr>
                  <w:tcW w:w="448" w:type="dxa"/>
                  <w:vMerge/>
                  <w:shd w:val="clear" w:color="auto" w:fill="F2F2F2" w:themeFill="background1" w:themeFillShade="F2"/>
                  <w:textDirection w:val="btLr"/>
                  <w:vAlign w:val="center"/>
                </w:tcPr>
                <w:p w:rsidR="004E10B5" w:rsidRPr="00D2006D" w:rsidRDefault="004E10B5" w:rsidP="00AC76D0">
                  <w:pPr>
                    <w:ind w:left="113" w:right="113"/>
                    <w:jc w:val="center"/>
                    <w:rPr>
                      <w:sz w:val="20"/>
                    </w:rPr>
                  </w:pPr>
                </w:p>
              </w:tc>
              <w:tc>
                <w:tcPr>
                  <w:tcW w:w="2408" w:type="dxa"/>
                  <w:gridSpan w:val="3"/>
                </w:tcPr>
                <w:p w:rsidR="004E10B5" w:rsidRPr="008D2B21" w:rsidRDefault="004E10B5" w:rsidP="004E10B5">
                  <w:pPr>
                    <w:pStyle w:val="ListParagraph"/>
                    <w:numPr>
                      <w:ilvl w:val="0"/>
                      <w:numId w:val="6"/>
                    </w:numPr>
                    <w:spacing w:after="0" w:line="240" w:lineRule="auto"/>
                    <w:ind w:left="175" w:hanging="175"/>
                    <w:rPr>
                      <w:sz w:val="18"/>
                    </w:rPr>
                  </w:pPr>
                  <w:r w:rsidRPr="008D2B21">
                    <w:rPr>
                      <w:sz w:val="18"/>
                    </w:rPr>
                    <w:t xml:space="preserve">Only 60% PP </w:t>
                  </w:r>
                  <w:proofErr w:type="spellStart"/>
                  <w:r w:rsidRPr="008D2B21">
                    <w:rPr>
                      <w:sz w:val="18"/>
                    </w:rPr>
                    <w:t>chn</w:t>
                  </w:r>
                  <w:proofErr w:type="spellEnd"/>
                  <w:r w:rsidRPr="008D2B21">
                    <w:rPr>
                      <w:sz w:val="18"/>
                    </w:rPr>
                    <w:t xml:space="preserve"> achieved ARE in EYFS</w:t>
                  </w:r>
                </w:p>
                <w:p w:rsidR="004E10B5" w:rsidRPr="008D2B21" w:rsidRDefault="004E10B5" w:rsidP="004E10B5">
                  <w:pPr>
                    <w:pStyle w:val="ListParagraph"/>
                    <w:numPr>
                      <w:ilvl w:val="0"/>
                      <w:numId w:val="6"/>
                    </w:numPr>
                    <w:spacing w:after="0" w:line="240" w:lineRule="auto"/>
                    <w:ind w:left="175" w:hanging="175"/>
                    <w:rPr>
                      <w:sz w:val="18"/>
                    </w:rPr>
                  </w:pPr>
                  <w:r w:rsidRPr="008D2B21">
                    <w:rPr>
                      <w:sz w:val="18"/>
                    </w:rPr>
                    <w:t>Reading Recovery for the 1 PP child has made ARE and accelerated progress</w:t>
                  </w:r>
                </w:p>
                <w:p w:rsidR="004E10B5" w:rsidRPr="008D2B21" w:rsidRDefault="004E10B5" w:rsidP="004E10B5">
                  <w:pPr>
                    <w:pStyle w:val="ListParagraph"/>
                    <w:numPr>
                      <w:ilvl w:val="0"/>
                      <w:numId w:val="6"/>
                    </w:numPr>
                    <w:spacing w:after="0" w:line="240" w:lineRule="auto"/>
                    <w:ind w:left="175" w:hanging="175"/>
                    <w:rPr>
                      <w:sz w:val="18"/>
                    </w:rPr>
                  </w:pPr>
                  <w:r w:rsidRPr="008D2B21">
                    <w:rPr>
                      <w:sz w:val="18"/>
                    </w:rPr>
                    <w:t>57% have made accelerated progress from their starting points</w:t>
                  </w:r>
                </w:p>
              </w:tc>
              <w:tc>
                <w:tcPr>
                  <w:tcW w:w="2409" w:type="dxa"/>
                  <w:gridSpan w:val="3"/>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w:t>
                  </w:r>
                </w:p>
                <w:p w:rsidR="004E10B5" w:rsidRDefault="004E10B5" w:rsidP="004E10B5">
                  <w:pPr>
                    <w:pStyle w:val="ListParagraph"/>
                    <w:numPr>
                      <w:ilvl w:val="0"/>
                      <w:numId w:val="7"/>
                    </w:numPr>
                    <w:spacing w:after="0" w:line="240" w:lineRule="auto"/>
                    <w:ind w:left="176" w:hanging="142"/>
                    <w:rPr>
                      <w:sz w:val="18"/>
                    </w:rPr>
                  </w:pPr>
                  <w:r>
                    <w:rPr>
                      <w:sz w:val="18"/>
                    </w:rPr>
                    <w:t>1 SEN child did not make expected progress (expected in EYFS)</w:t>
                  </w:r>
                </w:p>
                <w:p w:rsidR="004E10B5" w:rsidRDefault="004E10B5" w:rsidP="004E10B5">
                  <w:pPr>
                    <w:pStyle w:val="ListParagraph"/>
                    <w:numPr>
                      <w:ilvl w:val="0"/>
                      <w:numId w:val="7"/>
                    </w:numPr>
                    <w:spacing w:after="0" w:line="240" w:lineRule="auto"/>
                    <w:ind w:left="176" w:hanging="142"/>
                    <w:rPr>
                      <w:sz w:val="18"/>
                    </w:rPr>
                  </w:pPr>
                  <w:r>
                    <w:rPr>
                      <w:sz w:val="18"/>
                    </w:rPr>
                    <w:t xml:space="preserve">2 </w:t>
                  </w:r>
                  <w:proofErr w:type="spellStart"/>
                  <w:r>
                    <w:rPr>
                      <w:sz w:val="18"/>
                    </w:rPr>
                    <w:t>chn</w:t>
                  </w:r>
                  <w:proofErr w:type="spellEnd"/>
                  <w:r>
                    <w:rPr>
                      <w:sz w:val="18"/>
                    </w:rPr>
                    <w:t xml:space="preserve"> made better than expected progress and accelerated learning (Reading Recovery) </w:t>
                  </w:r>
                </w:p>
                <w:p w:rsidR="004E10B5" w:rsidRPr="008D2B21" w:rsidRDefault="004E10B5" w:rsidP="004E10B5">
                  <w:pPr>
                    <w:pStyle w:val="ListParagraph"/>
                    <w:numPr>
                      <w:ilvl w:val="0"/>
                      <w:numId w:val="7"/>
                    </w:numPr>
                    <w:spacing w:after="0" w:line="240" w:lineRule="auto"/>
                    <w:ind w:left="176" w:hanging="142"/>
                    <w:rPr>
                      <w:sz w:val="18"/>
                    </w:rPr>
                  </w:pPr>
                  <w:r>
                    <w:rPr>
                      <w:sz w:val="18"/>
                    </w:rPr>
                    <w:t xml:space="preserve">2 </w:t>
                  </w:r>
                  <w:proofErr w:type="spellStart"/>
                  <w:r>
                    <w:rPr>
                      <w:sz w:val="18"/>
                    </w:rPr>
                    <w:t>Chn</w:t>
                  </w:r>
                  <w:proofErr w:type="spellEnd"/>
                  <w:r>
                    <w:rPr>
                      <w:sz w:val="18"/>
                    </w:rPr>
                    <w:t xml:space="preserve"> at GD</w:t>
                  </w:r>
                </w:p>
              </w:tc>
              <w:tc>
                <w:tcPr>
                  <w:tcW w:w="2556" w:type="dxa"/>
                  <w:gridSpan w:val="3"/>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w:t>
                  </w:r>
                </w:p>
                <w:p w:rsidR="004E10B5" w:rsidRPr="00DB7E94" w:rsidRDefault="004E10B5" w:rsidP="004E10B5">
                  <w:pPr>
                    <w:pStyle w:val="ListParagraph"/>
                    <w:numPr>
                      <w:ilvl w:val="0"/>
                      <w:numId w:val="7"/>
                    </w:numPr>
                    <w:spacing w:after="0" w:line="240" w:lineRule="auto"/>
                    <w:ind w:left="177" w:hanging="177"/>
                    <w:rPr>
                      <w:sz w:val="18"/>
                    </w:rPr>
                  </w:pPr>
                  <w:r>
                    <w:rPr>
                      <w:sz w:val="18"/>
                    </w:rPr>
                    <w:t>SEN PP have not made expected progress and continue to make progress on small step targets (OPP’s)</w:t>
                  </w:r>
                </w:p>
              </w:tc>
              <w:tc>
                <w:tcPr>
                  <w:tcW w:w="2410" w:type="dxa"/>
                  <w:gridSpan w:val="2"/>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 however they continue to be 9% above national data</w:t>
                  </w:r>
                </w:p>
                <w:p w:rsidR="004E10B5" w:rsidRDefault="004E10B5" w:rsidP="004E10B5">
                  <w:pPr>
                    <w:pStyle w:val="ListParagraph"/>
                    <w:numPr>
                      <w:ilvl w:val="0"/>
                      <w:numId w:val="7"/>
                    </w:numPr>
                    <w:spacing w:after="0" w:line="240" w:lineRule="auto"/>
                    <w:ind w:left="179" w:hanging="142"/>
                    <w:rPr>
                      <w:sz w:val="18"/>
                    </w:rPr>
                  </w:pPr>
                  <w:r>
                    <w:rPr>
                      <w:sz w:val="18"/>
                    </w:rPr>
                    <w:t>Maintained attainment from their KS1 assessments (75%)</w:t>
                  </w:r>
                </w:p>
                <w:p w:rsidR="004E10B5" w:rsidRDefault="004E10B5" w:rsidP="004E10B5">
                  <w:pPr>
                    <w:pStyle w:val="ListParagraph"/>
                    <w:numPr>
                      <w:ilvl w:val="0"/>
                      <w:numId w:val="7"/>
                    </w:numPr>
                    <w:spacing w:after="0" w:line="240" w:lineRule="auto"/>
                    <w:ind w:left="179" w:hanging="142"/>
                    <w:rPr>
                      <w:sz w:val="18"/>
                    </w:rPr>
                  </w:pPr>
                  <w:r>
                    <w:rPr>
                      <w:sz w:val="18"/>
                    </w:rPr>
                    <w:t xml:space="preserve">More able disadvantaged have made accelerated progress </w:t>
                  </w:r>
                </w:p>
                <w:p w:rsidR="004E10B5" w:rsidRPr="009D0E00" w:rsidRDefault="004E10B5" w:rsidP="004E10B5">
                  <w:pPr>
                    <w:pStyle w:val="ListParagraph"/>
                    <w:numPr>
                      <w:ilvl w:val="0"/>
                      <w:numId w:val="7"/>
                    </w:numPr>
                    <w:spacing w:after="0" w:line="240" w:lineRule="auto"/>
                    <w:ind w:left="179" w:hanging="142"/>
                    <w:rPr>
                      <w:sz w:val="18"/>
                    </w:rPr>
                  </w:pPr>
                  <w:r>
                    <w:rPr>
                      <w:sz w:val="18"/>
                    </w:rPr>
                    <w:t>38% (3) PP at GD compared to only 25% (1) at the end of KS1</w:t>
                  </w:r>
                </w:p>
              </w:tc>
              <w:tc>
                <w:tcPr>
                  <w:tcW w:w="2424" w:type="dxa"/>
                  <w:gridSpan w:val="3"/>
                </w:tcPr>
                <w:p w:rsidR="004E10B5" w:rsidRDefault="004E10B5" w:rsidP="004E10B5">
                  <w:pPr>
                    <w:pStyle w:val="ListParagraph"/>
                    <w:numPr>
                      <w:ilvl w:val="0"/>
                      <w:numId w:val="7"/>
                    </w:numPr>
                    <w:spacing w:after="0" w:line="240" w:lineRule="auto"/>
                    <w:ind w:left="181" w:hanging="142"/>
                    <w:rPr>
                      <w:sz w:val="18"/>
                    </w:rPr>
                  </w:pPr>
                  <w:r>
                    <w:rPr>
                      <w:sz w:val="18"/>
                    </w:rPr>
                    <w:t>Non-PP outperformed PP children</w:t>
                  </w:r>
                </w:p>
                <w:p w:rsidR="004E10B5" w:rsidRDefault="004E10B5" w:rsidP="004E10B5">
                  <w:pPr>
                    <w:pStyle w:val="ListParagraph"/>
                    <w:numPr>
                      <w:ilvl w:val="0"/>
                      <w:numId w:val="7"/>
                    </w:numPr>
                    <w:spacing w:after="0" w:line="240" w:lineRule="auto"/>
                    <w:ind w:left="181" w:hanging="142"/>
                    <w:rPr>
                      <w:sz w:val="18"/>
                    </w:rPr>
                  </w:pPr>
                  <w:proofErr w:type="gramStart"/>
                  <w:r>
                    <w:rPr>
                      <w:sz w:val="18"/>
                    </w:rPr>
                    <w:t>1</w:t>
                  </w:r>
                  <w:proofErr w:type="gramEnd"/>
                  <w:r>
                    <w:rPr>
                      <w:sz w:val="18"/>
                    </w:rPr>
                    <w:t xml:space="preserve"> Pupil (TWB who is recently adopted and new to Dane Royd) is targeted to be working at ARE by the end of KS2. This will rise PP ARE to 80% which is 6% above national</w:t>
                  </w:r>
                </w:p>
                <w:p w:rsidR="004E10B5" w:rsidRPr="009D0E00" w:rsidRDefault="004E10B5" w:rsidP="00AC76D0">
                  <w:pPr>
                    <w:pStyle w:val="ListParagraph"/>
                    <w:ind w:left="181"/>
                    <w:rPr>
                      <w:sz w:val="18"/>
                    </w:rPr>
                  </w:pPr>
                </w:p>
              </w:tc>
              <w:tc>
                <w:tcPr>
                  <w:tcW w:w="2537" w:type="dxa"/>
                  <w:gridSpan w:val="2"/>
                </w:tcPr>
                <w:p w:rsidR="004E10B5" w:rsidRDefault="004E10B5" w:rsidP="004E10B5">
                  <w:pPr>
                    <w:pStyle w:val="ListParagraph"/>
                    <w:numPr>
                      <w:ilvl w:val="0"/>
                      <w:numId w:val="7"/>
                    </w:numPr>
                    <w:spacing w:after="0" w:line="240" w:lineRule="auto"/>
                    <w:ind w:left="181" w:hanging="142"/>
                    <w:rPr>
                      <w:sz w:val="18"/>
                    </w:rPr>
                  </w:pPr>
                  <w:r>
                    <w:rPr>
                      <w:sz w:val="18"/>
                    </w:rPr>
                    <w:t>Non-PP outperformed PP children</w:t>
                  </w:r>
                </w:p>
                <w:p w:rsidR="004E10B5" w:rsidRDefault="004E10B5" w:rsidP="004E10B5">
                  <w:pPr>
                    <w:pStyle w:val="ListParagraph"/>
                    <w:numPr>
                      <w:ilvl w:val="0"/>
                      <w:numId w:val="7"/>
                    </w:numPr>
                    <w:spacing w:after="0" w:line="240" w:lineRule="auto"/>
                    <w:ind w:left="181" w:hanging="142"/>
                    <w:rPr>
                      <w:sz w:val="18"/>
                    </w:rPr>
                  </w:pPr>
                  <w:proofErr w:type="gramStart"/>
                  <w:r>
                    <w:rPr>
                      <w:sz w:val="18"/>
                    </w:rPr>
                    <w:t>3</w:t>
                  </w:r>
                  <w:proofErr w:type="gramEnd"/>
                  <w:r>
                    <w:rPr>
                      <w:sz w:val="18"/>
                    </w:rPr>
                    <w:t xml:space="preserve"> </w:t>
                  </w:r>
                  <w:proofErr w:type="spellStart"/>
                  <w:r>
                    <w:rPr>
                      <w:sz w:val="18"/>
                    </w:rPr>
                    <w:t>chn</w:t>
                  </w:r>
                  <w:proofErr w:type="spellEnd"/>
                  <w:r>
                    <w:rPr>
                      <w:sz w:val="18"/>
                    </w:rPr>
                    <w:t xml:space="preserve"> did not make ARE. 2 of these are SEN</w:t>
                  </w:r>
                </w:p>
                <w:p w:rsidR="004E10B5" w:rsidRDefault="004E10B5" w:rsidP="004E10B5">
                  <w:pPr>
                    <w:pStyle w:val="ListParagraph"/>
                    <w:numPr>
                      <w:ilvl w:val="0"/>
                      <w:numId w:val="7"/>
                    </w:numPr>
                    <w:spacing w:after="0" w:line="240" w:lineRule="auto"/>
                    <w:ind w:left="181" w:hanging="142"/>
                    <w:rPr>
                      <w:sz w:val="18"/>
                    </w:rPr>
                  </w:pPr>
                  <w:proofErr w:type="gramStart"/>
                  <w:r>
                    <w:rPr>
                      <w:sz w:val="18"/>
                    </w:rPr>
                    <w:t>2</w:t>
                  </w:r>
                  <w:proofErr w:type="gramEnd"/>
                  <w:r>
                    <w:rPr>
                      <w:sz w:val="18"/>
                    </w:rPr>
                    <w:t xml:space="preserve"> children met the expected standard but did not maintain progress from KS1 Level 3. </w:t>
                  </w:r>
                </w:p>
                <w:p w:rsidR="004E10B5" w:rsidRPr="008D2B21" w:rsidRDefault="004E10B5" w:rsidP="00AC76D0">
                  <w:pPr>
                    <w:rPr>
                      <w:sz w:val="18"/>
                    </w:rPr>
                  </w:pPr>
                </w:p>
              </w:tc>
            </w:tr>
            <w:tr w:rsidR="004E10B5" w:rsidTr="00AC76D0">
              <w:trPr>
                <w:trHeight w:val="85"/>
              </w:trPr>
              <w:tc>
                <w:tcPr>
                  <w:tcW w:w="448" w:type="dxa"/>
                  <w:vMerge w:val="restart"/>
                  <w:shd w:val="clear" w:color="auto" w:fill="F2F2F2" w:themeFill="background1" w:themeFillShade="F2"/>
                  <w:textDirection w:val="btLr"/>
                  <w:vAlign w:val="center"/>
                </w:tcPr>
                <w:p w:rsidR="004E10B5" w:rsidRPr="00D2006D" w:rsidRDefault="004E10B5" w:rsidP="00AC76D0">
                  <w:pPr>
                    <w:ind w:left="113" w:right="113"/>
                    <w:jc w:val="center"/>
                    <w:rPr>
                      <w:sz w:val="20"/>
                    </w:rPr>
                  </w:pPr>
                  <w:r w:rsidRPr="00D2006D">
                    <w:rPr>
                      <w:sz w:val="20"/>
                    </w:rPr>
                    <w:t>Writing</w:t>
                  </w:r>
                </w:p>
              </w:tc>
              <w:tc>
                <w:tcPr>
                  <w:tcW w:w="1133" w:type="dxa"/>
                  <w:gridSpan w:val="2"/>
                  <w:vAlign w:val="bottom"/>
                </w:tcPr>
                <w:p w:rsidR="004E10B5" w:rsidRPr="00305779" w:rsidRDefault="004E10B5" w:rsidP="00AC76D0">
                  <w:pPr>
                    <w:jc w:val="center"/>
                    <w:rPr>
                      <w:b/>
                      <w:sz w:val="22"/>
                    </w:rPr>
                  </w:pPr>
                  <w:r w:rsidRPr="00305779">
                    <w:rPr>
                      <w:b/>
                      <w:sz w:val="22"/>
                    </w:rPr>
                    <w:t>86% (7)</w:t>
                  </w:r>
                </w:p>
              </w:tc>
              <w:tc>
                <w:tcPr>
                  <w:tcW w:w="1275" w:type="dxa"/>
                  <w:vAlign w:val="bottom"/>
                </w:tcPr>
                <w:p w:rsidR="004E10B5" w:rsidRPr="00305779" w:rsidRDefault="004E10B5" w:rsidP="00AC76D0">
                  <w:pPr>
                    <w:jc w:val="center"/>
                    <w:rPr>
                      <w:b/>
                      <w:sz w:val="22"/>
                    </w:rPr>
                  </w:pPr>
                  <w:r w:rsidRPr="00305779">
                    <w:rPr>
                      <w:b/>
                      <w:sz w:val="22"/>
                    </w:rPr>
                    <w:t>77% (35)</w:t>
                  </w:r>
                </w:p>
              </w:tc>
              <w:tc>
                <w:tcPr>
                  <w:tcW w:w="1133" w:type="dxa"/>
                  <w:gridSpan w:val="2"/>
                  <w:vAlign w:val="bottom"/>
                </w:tcPr>
                <w:p w:rsidR="004E10B5" w:rsidRPr="00305779" w:rsidRDefault="004E10B5" w:rsidP="00AC76D0">
                  <w:pPr>
                    <w:jc w:val="center"/>
                    <w:rPr>
                      <w:b/>
                      <w:sz w:val="22"/>
                    </w:rPr>
                  </w:pPr>
                  <w:r w:rsidRPr="00305779">
                    <w:rPr>
                      <w:b/>
                      <w:sz w:val="22"/>
                    </w:rPr>
                    <w:t>67% (6)</w:t>
                  </w:r>
                </w:p>
              </w:tc>
              <w:tc>
                <w:tcPr>
                  <w:tcW w:w="1276" w:type="dxa"/>
                  <w:vAlign w:val="bottom"/>
                </w:tcPr>
                <w:p w:rsidR="004E10B5" w:rsidRPr="00305779" w:rsidRDefault="004E10B5" w:rsidP="00AC76D0">
                  <w:pPr>
                    <w:jc w:val="center"/>
                    <w:rPr>
                      <w:b/>
                      <w:sz w:val="22"/>
                    </w:rPr>
                  </w:pPr>
                  <w:r w:rsidRPr="00305779">
                    <w:rPr>
                      <w:b/>
                      <w:sz w:val="22"/>
                    </w:rPr>
                    <w:t>77% (39)</w:t>
                  </w:r>
                </w:p>
              </w:tc>
              <w:tc>
                <w:tcPr>
                  <w:tcW w:w="1281" w:type="dxa"/>
                  <w:gridSpan w:val="2"/>
                  <w:vAlign w:val="bottom"/>
                </w:tcPr>
                <w:p w:rsidR="004E10B5" w:rsidRPr="00305779" w:rsidRDefault="004E10B5" w:rsidP="00AC76D0">
                  <w:pPr>
                    <w:jc w:val="center"/>
                    <w:rPr>
                      <w:b/>
                      <w:sz w:val="22"/>
                    </w:rPr>
                  </w:pPr>
                  <w:r w:rsidRPr="00305779">
                    <w:rPr>
                      <w:b/>
                      <w:sz w:val="22"/>
                    </w:rPr>
                    <w:t>50% (12)</w:t>
                  </w:r>
                </w:p>
              </w:tc>
              <w:tc>
                <w:tcPr>
                  <w:tcW w:w="1275" w:type="dxa"/>
                  <w:vAlign w:val="bottom"/>
                </w:tcPr>
                <w:p w:rsidR="004E10B5" w:rsidRPr="00305779" w:rsidRDefault="004E10B5" w:rsidP="00AC76D0">
                  <w:pPr>
                    <w:jc w:val="center"/>
                    <w:rPr>
                      <w:b/>
                      <w:sz w:val="22"/>
                    </w:rPr>
                  </w:pPr>
                  <w:r w:rsidRPr="00305779">
                    <w:rPr>
                      <w:b/>
                      <w:sz w:val="22"/>
                    </w:rPr>
                    <w:t>82% (33)</w:t>
                  </w:r>
                </w:p>
              </w:tc>
              <w:tc>
                <w:tcPr>
                  <w:tcW w:w="1276" w:type="dxa"/>
                  <w:vAlign w:val="bottom"/>
                </w:tcPr>
                <w:p w:rsidR="004E10B5" w:rsidRPr="00305779" w:rsidRDefault="004E10B5" w:rsidP="00AC76D0">
                  <w:pPr>
                    <w:jc w:val="center"/>
                    <w:rPr>
                      <w:b/>
                      <w:sz w:val="22"/>
                    </w:rPr>
                  </w:pPr>
                  <w:r w:rsidRPr="00305779">
                    <w:rPr>
                      <w:b/>
                      <w:sz w:val="22"/>
                    </w:rPr>
                    <w:t>75% (8)</w:t>
                  </w:r>
                </w:p>
              </w:tc>
              <w:tc>
                <w:tcPr>
                  <w:tcW w:w="1134" w:type="dxa"/>
                  <w:vAlign w:val="bottom"/>
                </w:tcPr>
                <w:p w:rsidR="004E10B5" w:rsidRPr="00305779" w:rsidRDefault="004E10B5" w:rsidP="00AC76D0">
                  <w:pPr>
                    <w:jc w:val="center"/>
                    <w:rPr>
                      <w:b/>
                      <w:sz w:val="22"/>
                    </w:rPr>
                  </w:pPr>
                  <w:r w:rsidRPr="00305779">
                    <w:rPr>
                      <w:b/>
                      <w:sz w:val="22"/>
                    </w:rPr>
                    <w:t>84% (37)</w:t>
                  </w:r>
                </w:p>
              </w:tc>
              <w:tc>
                <w:tcPr>
                  <w:tcW w:w="1276" w:type="dxa"/>
                  <w:vAlign w:val="bottom"/>
                </w:tcPr>
                <w:p w:rsidR="004E10B5" w:rsidRPr="00305779" w:rsidRDefault="004E10B5" w:rsidP="00AC76D0">
                  <w:pPr>
                    <w:jc w:val="center"/>
                    <w:rPr>
                      <w:b/>
                      <w:sz w:val="22"/>
                    </w:rPr>
                  </w:pPr>
                  <w:r w:rsidRPr="00305779">
                    <w:rPr>
                      <w:b/>
                      <w:sz w:val="22"/>
                    </w:rPr>
                    <w:t>60% (5)</w:t>
                  </w:r>
                </w:p>
              </w:tc>
              <w:tc>
                <w:tcPr>
                  <w:tcW w:w="1148" w:type="dxa"/>
                  <w:gridSpan w:val="2"/>
                  <w:vAlign w:val="bottom"/>
                </w:tcPr>
                <w:p w:rsidR="004E10B5" w:rsidRPr="00305779" w:rsidRDefault="004E10B5" w:rsidP="00AC76D0">
                  <w:pPr>
                    <w:jc w:val="center"/>
                    <w:rPr>
                      <w:b/>
                      <w:sz w:val="22"/>
                    </w:rPr>
                  </w:pPr>
                  <w:r w:rsidRPr="00305779">
                    <w:rPr>
                      <w:b/>
                      <w:sz w:val="22"/>
                    </w:rPr>
                    <w:t>81% (36)</w:t>
                  </w:r>
                </w:p>
              </w:tc>
              <w:tc>
                <w:tcPr>
                  <w:tcW w:w="1262" w:type="dxa"/>
                  <w:vAlign w:val="bottom"/>
                </w:tcPr>
                <w:p w:rsidR="004E10B5" w:rsidRPr="00305779" w:rsidRDefault="004E10B5" w:rsidP="00AC76D0">
                  <w:pPr>
                    <w:jc w:val="center"/>
                    <w:rPr>
                      <w:b/>
                      <w:sz w:val="22"/>
                    </w:rPr>
                  </w:pPr>
                  <w:r w:rsidRPr="00305779">
                    <w:rPr>
                      <w:b/>
                      <w:sz w:val="22"/>
                    </w:rPr>
                    <w:t>83% (7)</w:t>
                  </w:r>
                </w:p>
              </w:tc>
              <w:tc>
                <w:tcPr>
                  <w:tcW w:w="1275" w:type="dxa"/>
                  <w:vAlign w:val="bottom"/>
                </w:tcPr>
                <w:p w:rsidR="004E10B5" w:rsidRPr="00305779" w:rsidRDefault="004E10B5" w:rsidP="00AC76D0">
                  <w:pPr>
                    <w:jc w:val="center"/>
                    <w:rPr>
                      <w:b/>
                      <w:sz w:val="22"/>
                    </w:rPr>
                  </w:pPr>
                  <w:r w:rsidRPr="00305779">
                    <w:rPr>
                      <w:b/>
                      <w:sz w:val="22"/>
                    </w:rPr>
                    <w:t>86% (39)</w:t>
                  </w:r>
                </w:p>
              </w:tc>
            </w:tr>
            <w:tr w:rsidR="004E10B5" w:rsidTr="00AC76D0">
              <w:tc>
                <w:tcPr>
                  <w:tcW w:w="448" w:type="dxa"/>
                  <w:vMerge/>
                  <w:shd w:val="clear" w:color="auto" w:fill="F2F2F2" w:themeFill="background1" w:themeFillShade="F2"/>
                  <w:textDirection w:val="btLr"/>
                  <w:vAlign w:val="center"/>
                </w:tcPr>
                <w:p w:rsidR="004E10B5" w:rsidRPr="00D2006D" w:rsidRDefault="004E10B5" w:rsidP="00AC76D0">
                  <w:pPr>
                    <w:ind w:left="113" w:right="113"/>
                    <w:jc w:val="center"/>
                    <w:rPr>
                      <w:sz w:val="20"/>
                    </w:rPr>
                  </w:pPr>
                </w:p>
              </w:tc>
              <w:tc>
                <w:tcPr>
                  <w:tcW w:w="2408" w:type="dxa"/>
                  <w:gridSpan w:val="3"/>
                </w:tcPr>
                <w:p w:rsidR="004E10B5" w:rsidRDefault="004E10B5" w:rsidP="004E10B5">
                  <w:pPr>
                    <w:pStyle w:val="ListParagraph"/>
                    <w:numPr>
                      <w:ilvl w:val="0"/>
                      <w:numId w:val="7"/>
                    </w:numPr>
                    <w:spacing w:after="0" w:line="240" w:lineRule="auto"/>
                    <w:ind w:left="176" w:hanging="142"/>
                    <w:rPr>
                      <w:sz w:val="18"/>
                    </w:rPr>
                  </w:pPr>
                  <w:r>
                    <w:rPr>
                      <w:sz w:val="18"/>
                    </w:rPr>
                    <w:t xml:space="preserve">PP outperformed non-pp. </w:t>
                  </w:r>
                </w:p>
                <w:p w:rsidR="004E10B5" w:rsidRDefault="004E10B5" w:rsidP="004E10B5">
                  <w:pPr>
                    <w:pStyle w:val="ListParagraph"/>
                    <w:numPr>
                      <w:ilvl w:val="0"/>
                      <w:numId w:val="7"/>
                    </w:numPr>
                    <w:spacing w:after="0" w:line="240" w:lineRule="auto"/>
                    <w:ind w:left="176" w:hanging="142"/>
                    <w:rPr>
                      <w:sz w:val="18"/>
                    </w:rPr>
                  </w:pPr>
                  <w:r>
                    <w:rPr>
                      <w:sz w:val="18"/>
                    </w:rPr>
                    <w:t>Only 1 child hasn’t made accelerated progress (home circumstances)</w:t>
                  </w:r>
                </w:p>
                <w:p w:rsidR="004E10B5" w:rsidRPr="008D2B21" w:rsidRDefault="004E10B5" w:rsidP="004E10B5">
                  <w:pPr>
                    <w:pStyle w:val="ListParagraph"/>
                    <w:numPr>
                      <w:ilvl w:val="0"/>
                      <w:numId w:val="7"/>
                    </w:numPr>
                    <w:spacing w:after="0" w:line="240" w:lineRule="auto"/>
                    <w:ind w:left="176" w:hanging="142"/>
                    <w:rPr>
                      <w:sz w:val="18"/>
                    </w:rPr>
                  </w:pPr>
                  <w:r w:rsidRPr="008D2B21">
                    <w:rPr>
                      <w:sz w:val="18"/>
                    </w:rPr>
                    <w:t>EYFS 60</w:t>
                  </w:r>
                  <w:r>
                    <w:rPr>
                      <w:sz w:val="18"/>
                    </w:rPr>
                    <w:t xml:space="preserve">% - increase of 26%. </w:t>
                  </w:r>
                  <w:proofErr w:type="gramStart"/>
                  <w:r>
                    <w:rPr>
                      <w:sz w:val="18"/>
                    </w:rPr>
                    <w:t>3</w:t>
                  </w:r>
                  <w:proofErr w:type="gramEnd"/>
                  <w:r>
                    <w:rPr>
                      <w:sz w:val="18"/>
                    </w:rPr>
                    <w:t xml:space="preserve"> PP boys moving from emerging to working AT ARE.</w:t>
                  </w:r>
                </w:p>
              </w:tc>
              <w:tc>
                <w:tcPr>
                  <w:tcW w:w="2409" w:type="dxa"/>
                  <w:gridSpan w:val="3"/>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w:t>
                  </w:r>
                </w:p>
                <w:p w:rsidR="004E10B5" w:rsidRDefault="004E10B5" w:rsidP="004E10B5">
                  <w:pPr>
                    <w:pStyle w:val="ListParagraph"/>
                    <w:numPr>
                      <w:ilvl w:val="0"/>
                      <w:numId w:val="7"/>
                    </w:numPr>
                    <w:spacing w:after="0" w:line="240" w:lineRule="auto"/>
                    <w:ind w:left="176" w:hanging="142"/>
                    <w:rPr>
                      <w:sz w:val="18"/>
                    </w:rPr>
                  </w:pPr>
                  <w:r>
                    <w:rPr>
                      <w:sz w:val="18"/>
                    </w:rPr>
                    <w:t>1 SEN child did not make expected progress (expected in EYFS)</w:t>
                  </w:r>
                </w:p>
                <w:p w:rsidR="004E10B5" w:rsidRPr="009422C1" w:rsidRDefault="004E10B5" w:rsidP="004E10B5">
                  <w:pPr>
                    <w:pStyle w:val="ListParagraph"/>
                    <w:numPr>
                      <w:ilvl w:val="0"/>
                      <w:numId w:val="7"/>
                    </w:numPr>
                    <w:spacing w:after="0" w:line="240" w:lineRule="auto"/>
                    <w:ind w:left="176" w:hanging="142"/>
                    <w:rPr>
                      <w:sz w:val="18"/>
                    </w:rPr>
                  </w:pPr>
                  <w:r>
                    <w:rPr>
                      <w:sz w:val="18"/>
                    </w:rPr>
                    <w:t xml:space="preserve">1 child made better than expected progress and accelerated learning (Reading Recovery) </w:t>
                  </w:r>
                </w:p>
                <w:p w:rsidR="004E10B5" w:rsidRDefault="004E10B5" w:rsidP="004E10B5">
                  <w:pPr>
                    <w:pStyle w:val="ListParagraph"/>
                    <w:numPr>
                      <w:ilvl w:val="0"/>
                      <w:numId w:val="7"/>
                    </w:numPr>
                    <w:spacing w:after="0" w:line="240" w:lineRule="auto"/>
                    <w:ind w:left="177" w:hanging="177"/>
                    <w:rPr>
                      <w:sz w:val="18"/>
                    </w:rPr>
                  </w:pPr>
                  <w:r>
                    <w:rPr>
                      <w:sz w:val="18"/>
                    </w:rPr>
                    <w:t xml:space="preserve">2 </w:t>
                  </w:r>
                  <w:proofErr w:type="spellStart"/>
                  <w:r>
                    <w:rPr>
                      <w:sz w:val="18"/>
                    </w:rPr>
                    <w:t>Chn</w:t>
                  </w:r>
                  <w:proofErr w:type="spellEnd"/>
                  <w:r>
                    <w:rPr>
                      <w:sz w:val="18"/>
                    </w:rPr>
                    <w:t xml:space="preserve"> at GD</w:t>
                  </w:r>
                </w:p>
                <w:p w:rsidR="004E10B5" w:rsidRDefault="004E10B5" w:rsidP="00AC76D0"/>
              </w:tc>
              <w:tc>
                <w:tcPr>
                  <w:tcW w:w="2556" w:type="dxa"/>
                  <w:gridSpan w:val="3"/>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w:t>
                  </w:r>
                </w:p>
                <w:p w:rsidR="004E10B5" w:rsidRPr="00DB7E94" w:rsidRDefault="004E10B5" w:rsidP="004E10B5">
                  <w:pPr>
                    <w:pStyle w:val="ListParagraph"/>
                    <w:numPr>
                      <w:ilvl w:val="0"/>
                      <w:numId w:val="7"/>
                    </w:numPr>
                    <w:spacing w:after="0" w:line="240" w:lineRule="auto"/>
                    <w:ind w:left="177" w:hanging="177"/>
                    <w:rPr>
                      <w:sz w:val="18"/>
                    </w:rPr>
                  </w:pPr>
                  <w:r>
                    <w:rPr>
                      <w:sz w:val="18"/>
                    </w:rPr>
                    <w:t>SEN PP h</w:t>
                  </w:r>
                  <w:r w:rsidRPr="00DB7E94">
                    <w:rPr>
                      <w:sz w:val="18"/>
                    </w:rPr>
                    <w:t>ave not made expected progress and continue to make progress on small step targets (OPP’s)</w:t>
                  </w:r>
                </w:p>
              </w:tc>
              <w:tc>
                <w:tcPr>
                  <w:tcW w:w="2410" w:type="dxa"/>
                  <w:gridSpan w:val="2"/>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 however they continue to be 9% above national data</w:t>
                  </w:r>
                </w:p>
                <w:p w:rsidR="004E10B5" w:rsidRDefault="004E10B5" w:rsidP="004E10B5">
                  <w:pPr>
                    <w:pStyle w:val="ListParagraph"/>
                    <w:numPr>
                      <w:ilvl w:val="0"/>
                      <w:numId w:val="7"/>
                    </w:numPr>
                    <w:spacing w:after="0" w:line="240" w:lineRule="auto"/>
                    <w:ind w:left="179" w:hanging="142"/>
                    <w:rPr>
                      <w:sz w:val="18"/>
                    </w:rPr>
                  </w:pPr>
                  <w:r>
                    <w:rPr>
                      <w:sz w:val="18"/>
                    </w:rPr>
                    <w:t>Maintained attainment from their KS1 assessments (75%)</w:t>
                  </w:r>
                </w:p>
                <w:p w:rsidR="004E10B5" w:rsidRDefault="004E10B5" w:rsidP="004E10B5">
                  <w:pPr>
                    <w:pStyle w:val="ListParagraph"/>
                    <w:numPr>
                      <w:ilvl w:val="0"/>
                      <w:numId w:val="7"/>
                    </w:numPr>
                    <w:spacing w:after="0" w:line="240" w:lineRule="auto"/>
                    <w:ind w:left="179" w:hanging="142"/>
                    <w:rPr>
                      <w:sz w:val="18"/>
                    </w:rPr>
                  </w:pPr>
                  <w:r>
                    <w:rPr>
                      <w:sz w:val="18"/>
                    </w:rPr>
                    <w:t xml:space="preserve">More able disadvantaged have made accelerated progress </w:t>
                  </w:r>
                </w:p>
                <w:p w:rsidR="004E10B5" w:rsidRPr="009D0E00" w:rsidRDefault="004E10B5" w:rsidP="004E10B5">
                  <w:pPr>
                    <w:pStyle w:val="ListParagraph"/>
                    <w:numPr>
                      <w:ilvl w:val="0"/>
                      <w:numId w:val="7"/>
                    </w:numPr>
                    <w:spacing w:after="0" w:line="240" w:lineRule="auto"/>
                    <w:ind w:left="179" w:hanging="142"/>
                    <w:rPr>
                      <w:sz w:val="18"/>
                    </w:rPr>
                  </w:pPr>
                  <w:r>
                    <w:rPr>
                      <w:sz w:val="18"/>
                    </w:rPr>
                    <w:t>38% (3) PP at GD compared to only 25% (1) at the end of KS1</w:t>
                  </w:r>
                </w:p>
              </w:tc>
              <w:tc>
                <w:tcPr>
                  <w:tcW w:w="2424" w:type="dxa"/>
                  <w:gridSpan w:val="3"/>
                </w:tcPr>
                <w:p w:rsidR="004E10B5" w:rsidRDefault="004E10B5" w:rsidP="004E10B5">
                  <w:pPr>
                    <w:pStyle w:val="ListParagraph"/>
                    <w:numPr>
                      <w:ilvl w:val="0"/>
                      <w:numId w:val="7"/>
                    </w:numPr>
                    <w:spacing w:after="0" w:line="240" w:lineRule="auto"/>
                    <w:ind w:left="181" w:hanging="142"/>
                    <w:rPr>
                      <w:sz w:val="18"/>
                    </w:rPr>
                  </w:pPr>
                  <w:r>
                    <w:rPr>
                      <w:sz w:val="18"/>
                    </w:rPr>
                    <w:t>Non-PP outperformed PP children</w:t>
                  </w:r>
                </w:p>
                <w:p w:rsidR="004E10B5" w:rsidRDefault="004E10B5" w:rsidP="004E10B5">
                  <w:pPr>
                    <w:pStyle w:val="ListParagraph"/>
                    <w:numPr>
                      <w:ilvl w:val="0"/>
                      <w:numId w:val="7"/>
                    </w:numPr>
                    <w:spacing w:after="0" w:line="240" w:lineRule="auto"/>
                    <w:ind w:left="181" w:hanging="142"/>
                    <w:rPr>
                      <w:sz w:val="18"/>
                    </w:rPr>
                  </w:pPr>
                  <w:r>
                    <w:rPr>
                      <w:sz w:val="18"/>
                    </w:rPr>
                    <w:t>Slightly below KS1 ARE at 7% (TWB who is recently adopted and new to Dane Royd)</w:t>
                  </w:r>
                </w:p>
                <w:p w:rsidR="004E10B5" w:rsidRDefault="004E10B5" w:rsidP="004E10B5">
                  <w:pPr>
                    <w:pStyle w:val="ListParagraph"/>
                    <w:numPr>
                      <w:ilvl w:val="0"/>
                      <w:numId w:val="7"/>
                    </w:numPr>
                    <w:spacing w:after="0" w:line="240" w:lineRule="auto"/>
                    <w:ind w:left="181" w:hanging="142"/>
                    <w:rPr>
                      <w:sz w:val="18"/>
                    </w:rPr>
                  </w:pPr>
                  <w:r>
                    <w:rPr>
                      <w:sz w:val="18"/>
                    </w:rPr>
                    <w:t>1 Pupil (TWB who is LAC) is targeted to be working at ARE by the end of KS2</w:t>
                  </w:r>
                </w:p>
                <w:p w:rsidR="004E10B5" w:rsidRPr="009D0E00" w:rsidRDefault="004E10B5" w:rsidP="00AC76D0">
                  <w:pPr>
                    <w:rPr>
                      <w:sz w:val="18"/>
                    </w:rPr>
                  </w:pPr>
                </w:p>
              </w:tc>
              <w:tc>
                <w:tcPr>
                  <w:tcW w:w="2537" w:type="dxa"/>
                  <w:gridSpan w:val="2"/>
                </w:tcPr>
                <w:p w:rsidR="004E10B5" w:rsidRDefault="004E10B5" w:rsidP="004E10B5">
                  <w:pPr>
                    <w:pStyle w:val="ListParagraph"/>
                    <w:numPr>
                      <w:ilvl w:val="0"/>
                      <w:numId w:val="7"/>
                    </w:numPr>
                    <w:spacing w:after="0" w:line="240" w:lineRule="auto"/>
                    <w:ind w:left="181" w:hanging="142"/>
                    <w:rPr>
                      <w:sz w:val="18"/>
                    </w:rPr>
                  </w:pPr>
                  <w:r>
                    <w:rPr>
                      <w:sz w:val="18"/>
                    </w:rPr>
                    <w:t xml:space="preserve">Non-PP outperformed PP children but are broadly in-line </w:t>
                  </w:r>
                </w:p>
                <w:p w:rsidR="004E10B5" w:rsidRDefault="004E10B5" w:rsidP="004E10B5">
                  <w:pPr>
                    <w:pStyle w:val="ListParagraph"/>
                    <w:numPr>
                      <w:ilvl w:val="0"/>
                      <w:numId w:val="7"/>
                    </w:numPr>
                    <w:spacing w:after="0" w:line="240" w:lineRule="auto"/>
                    <w:ind w:left="181" w:hanging="142"/>
                    <w:rPr>
                      <w:sz w:val="18"/>
                    </w:rPr>
                  </w:pPr>
                  <w:r>
                    <w:rPr>
                      <w:sz w:val="18"/>
                    </w:rPr>
                    <w:t>1 SEN child did not make ARE</w:t>
                  </w:r>
                </w:p>
                <w:p w:rsidR="004E10B5" w:rsidRDefault="004E10B5" w:rsidP="004E10B5">
                  <w:pPr>
                    <w:pStyle w:val="ListParagraph"/>
                    <w:numPr>
                      <w:ilvl w:val="0"/>
                      <w:numId w:val="7"/>
                    </w:numPr>
                    <w:spacing w:after="0" w:line="240" w:lineRule="auto"/>
                    <w:ind w:left="181" w:hanging="142"/>
                    <w:rPr>
                      <w:sz w:val="18"/>
                    </w:rPr>
                  </w:pPr>
                  <w:r>
                    <w:rPr>
                      <w:sz w:val="18"/>
                    </w:rPr>
                    <w:t>1 child is working at GD</w:t>
                  </w:r>
                </w:p>
                <w:p w:rsidR="004E10B5" w:rsidRPr="009D0E00" w:rsidRDefault="004E10B5" w:rsidP="00AC76D0">
                  <w:pPr>
                    <w:rPr>
                      <w:sz w:val="18"/>
                    </w:rPr>
                  </w:pPr>
                </w:p>
              </w:tc>
            </w:tr>
            <w:tr w:rsidR="004E10B5" w:rsidTr="00AC76D0">
              <w:trPr>
                <w:trHeight w:val="117"/>
              </w:trPr>
              <w:tc>
                <w:tcPr>
                  <w:tcW w:w="448" w:type="dxa"/>
                  <w:vMerge w:val="restart"/>
                  <w:shd w:val="clear" w:color="auto" w:fill="F2F2F2" w:themeFill="background1" w:themeFillShade="F2"/>
                  <w:textDirection w:val="btLr"/>
                  <w:vAlign w:val="center"/>
                </w:tcPr>
                <w:p w:rsidR="004E10B5" w:rsidRPr="00D2006D" w:rsidRDefault="004E10B5" w:rsidP="00AC76D0">
                  <w:pPr>
                    <w:ind w:left="113" w:right="113"/>
                    <w:jc w:val="center"/>
                    <w:rPr>
                      <w:sz w:val="20"/>
                    </w:rPr>
                  </w:pPr>
                  <w:r w:rsidRPr="00D2006D">
                    <w:rPr>
                      <w:sz w:val="20"/>
                    </w:rPr>
                    <w:t>Maths</w:t>
                  </w:r>
                </w:p>
              </w:tc>
              <w:tc>
                <w:tcPr>
                  <w:tcW w:w="1133" w:type="dxa"/>
                  <w:gridSpan w:val="2"/>
                  <w:vAlign w:val="center"/>
                </w:tcPr>
                <w:p w:rsidR="004E10B5" w:rsidRPr="00305779" w:rsidRDefault="004E10B5" w:rsidP="00AC76D0">
                  <w:pPr>
                    <w:jc w:val="center"/>
                    <w:rPr>
                      <w:b/>
                      <w:sz w:val="22"/>
                    </w:rPr>
                  </w:pPr>
                  <w:r w:rsidRPr="00305779">
                    <w:rPr>
                      <w:b/>
                      <w:sz w:val="22"/>
                    </w:rPr>
                    <w:t>100% (7)</w:t>
                  </w:r>
                </w:p>
              </w:tc>
              <w:tc>
                <w:tcPr>
                  <w:tcW w:w="1275" w:type="dxa"/>
                  <w:vAlign w:val="center"/>
                </w:tcPr>
                <w:p w:rsidR="004E10B5" w:rsidRPr="00305779" w:rsidRDefault="004E10B5" w:rsidP="00AC76D0">
                  <w:pPr>
                    <w:jc w:val="center"/>
                    <w:rPr>
                      <w:b/>
                      <w:sz w:val="22"/>
                    </w:rPr>
                  </w:pPr>
                  <w:r w:rsidRPr="00305779">
                    <w:rPr>
                      <w:b/>
                      <w:sz w:val="22"/>
                    </w:rPr>
                    <w:t>80% (35)</w:t>
                  </w:r>
                </w:p>
              </w:tc>
              <w:tc>
                <w:tcPr>
                  <w:tcW w:w="1133" w:type="dxa"/>
                  <w:gridSpan w:val="2"/>
                  <w:vAlign w:val="center"/>
                </w:tcPr>
                <w:p w:rsidR="004E10B5" w:rsidRPr="00305779" w:rsidRDefault="004E10B5" w:rsidP="00AC76D0">
                  <w:pPr>
                    <w:jc w:val="center"/>
                    <w:rPr>
                      <w:b/>
                      <w:sz w:val="22"/>
                    </w:rPr>
                  </w:pPr>
                  <w:r w:rsidRPr="00305779">
                    <w:rPr>
                      <w:b/>
                      <w:sz w:val="22"/>
                    </w:rPr>
                    <w:t>83% (6)</w:t>
                  </w:r>
                </w:p>
              </w:tc>
              <w:tc>
                <w:tcPr>
                  <w:tcW w:w="1276" w:type="dxa"/>
                  <w:vAlign w:val="center"/>
                </w:tcPr>
                <w:p w:rsidR="004E10B5" w:rsidRPr="00305779" w:rsidRDefault="004E10B5" w:rsidP="00AC76D0">
                  <w:pPr>
                    <w:jc w:val="center"/>
                    <w:rPr>
                      <w:b/>
                      <w:sz w:val="22"/>
                    </w:rPr>
                  </w:pPr>
                  <w:r w:rsidRPr="00305779">
                    <w:rPr>
                      <w:b/>
                      <w:sz w:val="22"/>
                    </w:rPr>
                    <w:t>82% (39)</w:t>
                  </w:r>
                </w:p>
              </w:tc>
              <w:tc>
                <w:tcPr>
                  <w:tcW w:w="1281" w:type="dxa"/>
                  <w:gridSpan w:val="2"/>
                  <w:vAlign w:val="center"/>
                </w:tcPr>
                <w:p w:rsidR="004E10B5" w:rsidRPr="00305779" w:rsidRDefault="004E10B5" w:rsidP="00AC76D0">
                  <w:pPr>
                    <w:jc w:val="center"/>
                    <w:rPr>
                      <w:b/>
                      <w:sz w:val="22"/>
                    </w:rPr>
                  </w:pPr>
                  <w:r w:rsidRPr="00305779">
                    <w:rPr>
                      <w:b/>
                      <w:sz w:val="22"/>
                    </w:rPr>
                    <w:t>50% (12)</w:t>
                  </w:r>
                </w:p>
              </w:tc>
              <w:tc>
                <w:tcPr>
                  <w:tcW w:w="1275" w:type="dxa"/>
                  <w:vAlign w:val="center"/>
                </w:tcPr>
                <w:p w:rsidR="004E10B5" w:rsidRPr="00305779" w:rsidRDefault="004E10B5" w:rsidP="00AC76D0">
                  <w:pPr>
                    <w:jc w:val="center"/>
                    <w:rPr>
                      <w:b/>
                      <w:sz w:val="22"/>
                    </w:rPr>
                  </w:pPr>
                  <w:r w:rsidRPr="00305779">
                    <w:rPr>
                      <w:b/>
                      <w:sz w:val="22"/>
                    </w:rPr>
                    <w:t>82% (33)</w:t>
                  </w:r>
                </w:p>
              </w:tc>
              <w:tc>
                <w:tcPr>
                  <w:tcW w:w="1276" w:type="dxa"/>
                  <w:vAlign w:val="center"/>
                </w:tcPr>
                <w:p w:rsidR="004E10B5" w:rsidRPr="00305779" w:rsidRDefault="004E10B5" w:rsidP="00AC76D0">
                  <w:pPr>
                    <w:jc w:val="center"/>
                    <w:rPr>
                      <w:b/>
                      <w:sz w:val="22"/>
                    </w:rPr>
                  </w:pPr>
                  <w:r w:rsidRPr="00305779">
                    <w:rPr>
                      <w:b/>
                      <w:sz w:val="22"/>
                    </w:rPr>
                    <w:t>75% (8)</w:t>
                  </w:r>
                </w:p>
              </w:tc>
              <w:tc>
                <w:tcPr>
                  <w:tcW w:w="1134" w:type="dxa"/>
                  <w:vAlign w:val="center"/>
                </w:tcPr>
                <w:p w:rsidR="004E10B5" w:rsidRPr="00305779" w:rsidRDefault="004E10B5" w:rsidP="00AC76D0">
                  <w:pPr>
                    <w:jc w:val="center"/>
                    <w:rPr>
                      <w:b/>
                      <w:sz w:val="22"/>
                    </w:rPr>
                  </w:pPr>
                  <w:r w:rsidRPr="00305779">
                    <w:rPr>
                      <w:b/>
                      <w:sz w:val="22"/>
                    </w:rPr>
                    <w:t>81% (37)</w:t>
                  </w:r>
                </w:p>
              </w:tc>
              <w:tc>
                <w:tcPr>
                  <w:tcW w:w="1276" w:type="dxa"/>
                  <w:vAlign w:val="center"/>
                </w:tcPr>
                <w:p w:rsidR="004E10B5" w:rsidRPr="00305779" w:rsidRDefault="004E10B5" w:rsidP="00AC76D0">
                  <w:pPr>
                    <w:jc w:val="center"/>
                    <w:rPr>
                      <w:b/>
                      <w:sz w:val="22"/>
                    </w:rPr>
                  </w:pPr>
                  <w:r w:rsidRPr="00305779">
                    <w:rPr>
                      <w:b/>
                      <w:sz w:val="22"/>
                    </w:rPr>
                    <w:t>80%  (5)</w:t>
                  </w:r>
                </w:p>
              </w:tc>
              <w:tc>
                <w:tcPr>
                  <w:tcW w:w="1148" w:type="dxa"/>
                  <w:gridSpan w:val="2"/>
                  <w:vAlign w:val="center"/>
                </w:tcPr>
                <w:p w:rsidR="004E10B5" w:rsidRPr="00305779" w:rsidRDefault="004E10B5" w:rsidP="00AC76D0">
                  <w:pPr>
                    <w:jc w:val="center"/>
                    <w:rPr>
                      <w:b/>
                      <w:sz w:val="22"/>
                    </w:rPr>
                  </w:pPr>
                  <w:r w:rsidRPr="00305779">
                    <w:rPr>
                      <w:b/>
                      <w:sz w:val="22"/>
                    </w:rPr>
                    <w:t>89% (36)</w:t>
                  </w:r>
                </w:p>
              </w:tc>
              <w:tc>
                <w:tcPr>
                  <w:tcW w:w="1262" w:type="dxa"/>
                  <w:vAlign w:val="center"/>
                </w:tcPr>
                <w:p w:rsidR="004E10B5" w:rsidRPr="00305779" w:rsidRDefault="004E10B5" w:rsidP="00AC76D0">
                  <w:pPr>
                    <w:jc w:val="center"/>
                    <w:rPr>
                      <w:b/>
                      <w:sz w:val="22"/>
                    </w:rPr>
                  </w:pPr>
                  <w:r w:rsidRPr="00305779">
                    <w:rPr>
                      <w:b/>
                      <w:sz w:val="22"/>
                    </w:rPr>
                    <w:t>43% (7)</w:t>
                  </w:r>
                </w:p>
              </w:tc>
              <w:tc>
                <w:tcPr>
                  <w:tcW w:w="1275" w:type="dxa"/>
                  <w:vAlign w:val="center"/>
                </w:tcPr>
                <w:p w:rsidR="004E10B5" w:rsidRPr="00305779" w:rsidRDefault="004E10B5" w:rsidP="00AC76D0">
                  <w:pPr>
                    <w:jc w:val="center"/>
                    <w:rPr>
                      <w:b/>
                      <w:sz w:val="22"/>
                    </w:rPr>
                  </w:pPr>
                  <w:r w:rsidRPr="00305779">
                    <w:rPr>
                      <w:b/>
                      <w:sz w:val="22"/>
                    </w:rPr>
                    <w:t>89% (39)</w:t>
                  </w:r>
                </w:p>
              </w:tc>
            </w:tr>
            <w:tr w:rsidR="004E10B5" w:rsidRPr="008D2B21" w:rsidTr="00AC76D0">
              <w:trPr>
                <w:trHeight w:val="2210"/>
              </w:trPr>
              <w:tc>
                <w:tcPr>
                  <w:tcW w:w="448" w:type="dxa"/>
                  <w:vMerge/>
                  <w:shd w:val="clear" w:color="auto" w:fill="F2F2F2" w:themeFill="background1" w:themeFillShade="F2"/>
                </w:tcPr>
                <w:p w:rsidR="004E10B5" w:rsidRPr="008D2B21" w:rsidRDefault="004E10B5" w:rsidP="00AC76D0">
                  <w:pPr>
                    <w:rPr>
                      <w:sz w:val="18"/>
                    </w:rPr>
                  </w:pPr>
                </w:p>
              </w:tc>
              <w:tc>
                <w:tcPr>
                  <w:tcW w:w="2408" w:type="dxa"/>
                  <w:gridSpan w:val="3"/>
                </w:tcPr>
                <w:p w:rsidR="004E10B5" w:rsidRDefault="004E10B5" w:rsidP="004E10B5">
                  <w:pPr>
                    <w:pStyle w:val="ListParagraph"/>
                    <w:numPr>
                      <w:ilvl w:val="0"/>
                      <w:numId w:val="7"/>
                    </w:numPr>
                    <w:spacing w:after="0" w:line="240" w:lineRule="auto"/>
                    <w:ind w:left="176" w:hanging="142"/>
                    <w:rPr>
                      <w:sz w:val="18"/>
                    </w:rPr>
                  </w:pPr>
                  <w:r>
                    <w:rPr>
                      <w:sz w:val="18"/>
                    </w:rPr>
                    <w:t xml:space="preserve">PP outperformed non-pp. </w:t>
                  </w:r>
                </w:p>
                <w:p w:rsidR="004E10B5" w:rsidRPr="008D2B21" w:rsidRDefault="004E10B5" w:rsidP="004E10B5">
                  <w:pPr>
                    <w:pStyle w:val="ListParagraph"/>
                    <w:numPr>
                      <w:ilvl w:val="0"/>
                      <w:numId w:val="8"/>
                    </w:numPr>
                    <w:spacing w:after="0" w:line="240" w:lineRule="auto"/>
                    <w:ind w:left="175" w:hanging="175"/>
                    <w:rPr>
                      <w:sz w:val="18"/>
                    </w:rPr>
                  </w:pPr>
                  <w:r>
                    <w:rPr>
                      <w:sz w:val="18"/>
                    </w:rPr>
                    <w:t>14% PP working at GD</w:t>
                  </w:r>
                </w:p>
              </w:tc>
              <w:tc>
                <w:tcPr>
                  <w:tcW w:w="2409" w:type="dxa"/>
                  <w:gridSpan w:val="3"/>
                </w:tcPr>
                <w:p w:rsidR="004E10B5" w:rsidRDefault="004E10B5" w:rsidP="004E10B5">
                  <w:pPr>
                    <w:pStyle w:val="ListParagraph"/>
                    <w:numPr>
                      <w:ilvl w:val="0"/>
                      <w:numId w:val="7"/>
                    </w:numPr>
                    <w:spacing w:after="0" w:line="240" w:lineRule="auto"/>
                    <w:ind w:left="176" w:hanging="142"/>
                    <w:rPr>
                      <w:sz w:val="18"/>
                    </w:rPr>
                  </w:pPr>
                  <w:r w:rsidRPr="009422C1">
                    <w:rPr>
                      <w:sz w:val="18"/>
                    </w:rPr>
                    <w:t xml:space="preserve">1 SEN child did not make expected progress (expected in EYFS) </w:t>
                  </w:r>
                </w:p>
                <w:p w:rsidR="004E10B5" w:rsidRDefault="004E10B5" w:rsidP="004E10B5">
                  <w:pPr>
                    <w:pStyle w:val="ListParagraph"/>
                    <w:numPr>
                      <w:ilvl w:val="0"/>
                      <w:numId w:val="7"/>
                    </w:numPr>
                    <w:spacing w:after="0" w:line="240" w:lineRule="auto"/>
                    <w:ind w:left="176" w:hanging="142"/>
                    <w:rPr>
                      <w:sz w:val="18"/>
                    </w:rPr>
                  </w:pPr>
                  <w:r w:rsidRPr="009422C1">
                    <w:rPr>
                      <w:sz w:val="18"/>
                    </w:rPr>
                    <w:t>PP outperformed Non-PP children</w:t>
                  </w:r>
                </w:p>
                <w:p w:rsidR="004E10B5" w:rsidRPr="009422C1" w:rsidRDefault="004E10B5" w:rsidP="004E10B5">
                  <w:pPr>
                    <w:pStyle w:val="ListParagraph"/>
                    <w:numPr>
                      <w:ilvl w:val="0"/>
                      <w:numId w:val="7"/>
                    </w:numPr>
                    <w:spacing w:after="0" w:line="240" w:lineRule="auto"/>
                    <w:ind w:left="176" w:hanging="142"/>
                    <w:rPr>
                      <w:sz w:val="18"/>
                    </w:rPr>
                  </w:pPr>
                  <w:r>
                    <w:rPr>
                      <w:sz w:val="18"/>
                    </w:rPr>
                    <w:t xml:space="preserve">1 child made better than expected progress and accelerated learning (Reading Recovery) </w:t>
                  </w:r>
                </w:p>
                <w:p w:rsidR="004E10B5" w:rsidRPr="009422C1" w:rsidRDefault="004E10B5" w:rsidP="004E10B5">
                  <w:pPr>
                    <w:pStyle w:val="ListParagraph"/>
                    <w:numPr>
                      <w:ilvl w:val="0"/>
                      <w:numId w:val="7"/>
                    </w:numPr>
                    <w:spacing w:after="0" w:line="240" w:lineRule="auto"/>
                    <w:ind w:left="176" w:hanging="142"/>
                    <w:rPr>
                      <w:sz w:val="18"/>
                    </w:rPr>
                  </w:pPr>
                  <w:r>
                    <w:rPr>
                      <w:sz w:val="18"/>
                    </w:rPr>
                    <w:t xml:space="preserve">2 </w:t>
                  </w:r>
                  <w:proofErr w:type="spellStart"/>
                  <w:r>
                    <w:rPr>
                      <w:sz w:val="18"/>
                    </w:rPr>
                    <w:t>c</w:t>
                  </w:r>
                  <w:r w:rsidRPr="009422C1">
                    <w:rPr>
                      <w:sz w:val="18"/>
                    </w:rPr>
                    <w:t>hn</w:t>
                  </w:r>
                  <w:proofErr w:type="spellEnd"/>
                  <w:r w:rsidRPr="009422C1">
                    <w:rPr>
                      <w:sz w:val="18"/>
                    </w:rPr>
                    <w:t xml:space="preserve"> at GD</w:t>
                  </w:r>
                </w:p>
              </w:tc>
              <w:tc>
                <w:tcPr>
                  <w:tcW w:w="2556" w:type="dxa"/>
                  <w:gridSpan w:val="3"/>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w:t>
                  </w:r>
                </w:p>
                <w:p w:rsidR="004E10B5" w:rsidRPr="00DB7E94" w:rsidRDefault="004E10B5" w:rsidP="004E10B5">
                  <w:pPr>
                    <w:pStyle w:val="ListParagraph"/>
                    <w:numPr>
                      <w:ilvl w:val="0"/>
                      <w:numId w:val="7"/>
                    </w:numPr>
                    <w:spacing w:after="0" w:line="240" w:lineRule="auto"/>
                    <w:ind w:left="177" w:hanging="177"/>
                    <w:rPr>
                      <w:sz w:val="18"/>
                    </w:rPr>
                  </w:pPr>
                  <w:r>
                    <w:rPr>
                      <w:sz w:val="18"/>
                    </w:rPr>
                    <w:t>SEN PP h</w:t>
                  </w:r>
                  <w:r w:rsidRPr="00DB7E94">
                    <w:rPr>
                      <w:sz w:val="18"/>
                    </w:rPr>
                    <w:t>ave not made expected progress and continue to make progress on small step targets (OPP’s)</w:t>
                  </w:r>
                </w:p>
              </w:tc>
              <w:tc>
                <w:tcPr>
                  <w:tcW w:w="2410" w:type="dxa"/>
                  <w:gridSpan w:val="2"/>
                </w:tcPr>
                <w:p w:rsidR="004E10B5" w:rsidRDefault="004E10B5" w:rsidP="004E10B5">
                  <w:pPr>
                    <w:pStyle w:val="ListParagraph"/>
                    <w:numPr>
                      <w:ilvl w:val="0"/>
                      <w:numId w:val="7"/>
                    </w:numPr>
                    <w:spacing w:after="0" w:line="240" w:lineRule="auto"/>
                    <w:ind w:left="177" w:hanging="177"/>
                    <w:rPr>
                      <w:sz w:val="18"/>
                    </w:rPr>
                  </w:pPr>
                  <w:r>
                    <w:rPr>
                      <w:sz w:val="18"/>
                    </w:rPr>
                    <w:t>Non-PP outperformed PP children, however they continue to be 6% above national data</w:t>
                  </w:r>
                </w:p>
                <w:p w:rsidR="004E10B5" w:rsidRDefault="004E10B5" w:rsidP="004E10B5">
                  <w:pPr>
                    <w:pStyle w:val="ListParagraph"/>
                    <w:numPr>
                      <w:ilvl w:val="0"/>
                      <w:numId w:val="7"/>
                    </w:numPr>
                    <w:spacing w:after="0" w:line="240" w:lineRule="auto"/>
                    <w:ind w:left="179" w:hanging="142"/>
                    <w:rPr>
                      <w:sz w:val="18"/>
                    </w:rPr>
                  </w:pPr>
                  <w:r>
                    <w:rPr>
                      <w:sz w:val="18"/>
                    </w:rPr>
                    <w:t>Maintained attainment from their KS1 assessments (75%)</w:t>
                  </w:r>
                </w:p>
                <w:p w:rsidR="004E10B5" w:rsidRDefault="004E10B5" w:rsidP="004E10B5">
                  <w:pPr>
                    <w:pStyle w:val="ListParagraph"/>
                    <w:numPr>
                      <w:ilvl w:val="0"/>
                      <w:numId w:val="7"/>
                    </w:numPr>
                    <w:spacing w:after="0" w:line="240" w:lineRule="auto"/>
                    <w:ind w:left="179" w:hanging="142"/>
                    <w:rPr>
                      <w:sz w:val="18"/>
                    </w:rPr>
                  </w:pPr>
                  <w:r>
                    <w:rPr>
                      <w:sz w:val="18"/>
                    </w:rPr>
                    <w:t xml:space="preserve">More able disadvantaged have made accelerated progress </w:t>
                  </w:r>
                </w:p>
                <w:p w:rsidR="004E10B5" w:rsidRPr="009422C1" w:rsidRDefault="004E10B5" w:rsidP="004E10B5">
                  <w:pPr>
                    <w:pStyle w:val="ListParagraph"/>
                    <w:numPr>
                      <w:ilvl w:val="0"/>
                      <w:numId w:val="7"/>
                    </w:numPr>
                    <w:spacing w:after="0" w:line="240" w:lineRule="auto"/>
                    <w:ind w:left="179" w:hanging="179"/>
                    <w:rPr>
                      <w:sz w:val="18"/>
                    </w:rPr>
                  </w:pPr>
                  <w:r>
                    <w:rPr>
                      <w:sz w:val="18"/>
                    </w:rPr>
                    <w:t>38% (3) PP at GD compared to only 25% (1) at the end of KS1</w:t>
                  </w:r>
                </w:p>
              </w:tc>
              <w:tc>
                <w:tcPr>
                  <w:tcW w:w="2424" w:type="dxa"/>
                  <w:gridSpan w:val="3"/>
                </w:tcPr>
                <w:p w:rsidR="004E10B5" w:rsidRDefault="004E10B5" w:rsidP="004E10B5">
                  <w:pPr>
                    <w:pStyle w:val="ListParagraph"/>
                    <w:numPr>
                      <w:ilvl w:val="0"/>
                      <w:numId w:val="7"/>
                    </w:numPr>
                    <w:spacing w:after="0" w:line="240" w:lineRule="auto"/>
                    <w:ind w:left="181" w:hanging="142"/>
                    <w:rPr>
                      <w:sz w:val="18"/>
                    </w:rPr>
                  </w:pPr>
                  <w:r>
                    <w:rPr>
                      <w:sz w:val="18"/>
                    </w:rPr>
                    <w:t>Non-PP outperformed PP children</w:t>
                  </w:r>
                </w:p>
                <w:p w:rsidR="004E10B5" w:rsidRDefault="004E10B5" w:rsidP="004E10B5">
                  <w:pPr>
                    <w:pStyle w:val="ListParagraph"/>
                    <w:numPr>
                      <w:ilvl w:val="0"/>
                      <w:numId w:val="7"/>
                    </w:numPr>
                    <w:spacing w:after="0" w:line="240" w:lineRule="auto"/>
                    <w:ind w:left="181" w:hanging="142"/>
                    <w:rPr>
                      <w:sz w:val="18"/>
                    </w:rPr>
                  </w:pPr>
                  <w:r>
                    <w:rPr>
                      <w:sz w:val="18"/>
                    </w:rPr>
                    <w:t>PP are broadly in-line with other groups</w:t>
                  </w:r>
                </w:p>
                <w:p w:rsidR="004E10B5" w:rsidRDefault="004E10B5" w:rsidP="004E10B5">
                  <w:pPr>
                    <w:pStyle w:val="ListParagraph"/>
                    <w:numPr>
                      <w:ilvl w:val="0"/>
                      <w:numId w:val="7"/>
                    </w:numPr>
                    <w:spacing w:after="0" w:line="240" w:lineRule="auto"/>
                    <w:ind w:left="181" w:hanging="142"/>
                    <w:rPr>
                      <w:sz w:val="18"/>
                    </w:rPr>
                  </w:pPr>
                  <w:r>
                    <w:rPr>
                      <w:sz w:val="18"/>
                    </w:rPr>
                    <w:t>Slightly below KS1 ARE  (TWB who is recently adopted and new to Dane Royd)</w:t>
                  </w:r>
                </w:p>
                <w:p w:rsidR="004E10B5" w:rsidRDefault="004E10B5" w:rsidP="00AC76D0">
                  <w:pPr>
                    <w:pStyle w:val="ListParagraph"/>
                    <w:ind w:left="181"/>
                    <w:rPr>
                      <w:sz w:val="18"/>
                    </w:rPr>
                  </w:pPr>
                </w:p>
                <w:p w:rsidR="004E10B5" w:rsidRPr="008D2B21" w:rsidRDefault="004E10B5" w:rsidP="00AC76D0">
                  <w:pPr>
                    <w:rPr>
                      <w:sz w:val="18"/>
                    </w:rPr>
                  </w:pPr>
                </w:p>
              </w:tc>
              <w:tc>
                <w:tcPr>
                  <w:tcW w:w="2537" w:type="dxa"/>
                  <w:gridSpan w:val="2"/>
                </w:tcPr>
                <w:p w:rsidR="004E10B5" w:rsidRDefault="004E10B5" w:rsidP="004E10B5">
                  <w:pPr>
                    <w:pStyle w:val="ListParagraph"/>
                    <w:numPr>
                      <w:ilvl w:val="0"/>
                      <w:numId w:val="7"/>
                    </w:numPr>
                    <w:spacing w:after="0" w:line="240" w:lineRule="auto"/>
                    <w:ind w:left="181" w:hanging="142"/>
                    <w:rPr>
                      <w:sz w:val="18"/>
                    </w:rPr>
                  </w:pPr>
                  <w:r>
                    <w:rPr>
                      <w:sz w:val="18"/>
                    </w:rPr>
                    <w:t>Non-PP outperformed PP children</w:t>
                  </w:r>
                </w:p>
                <w:p w:rsidR="004E10B5" w:rsidRPr="00915057" w:rsidRDefault="004E10B5" w:rsidP="004E10B5">
                  <w:pPr>
                    <w:pStyle w:val="ListParagraph"/>
                    <w:numPr>
                      <w:ilvl w:val="0"/>
                      <w:numId w:val="7"/>
                    </w:numPr>
                    <w:spacing w:after="0" w:line="240" w:lineRule="auto"/>
                    <w:ind w:left="181" w:hanging="142"/>
                    <w:rPr>
                      <w:sz w:val="18"/>
                    </w:rPr>
                  </w:pPr>
                  <w:proofErr w:type="gramStart"/>
                  <w:r w:rsidRPr="00915057">
                    <w:rPr>
                      <w:sz w:val="18"/>
                    </w:rPr>
                    <w:t>3</w:t>
                  </w:r>
                  <w:proofErr w:type="gramEnd"/>
                  <w:r w:rsidRPr="00915057">
                    <w:rPr>
                      <w:sz w:val="18"/>
                    </w:rPr>
                    <w:t xml:space="preserve"> children met the expected standard</w:t>
                  </w:r>
                  <w:r>
                    <w:rPr>
                      <w:sz w:val="18"/>
                    </w:rPr>
                    <w:t xml:space="preserve"> with 2 SEN working towards. </w:t>
                  </w:r>
                </w:p>
              </w:tc>
            </w:tr>
          </w:tbl>
          <w:p w:rsidR="004E10B5" w:rsidRDefault="004E10B5" w:rsidP="00AC76D0">
            <w:pPr>
              <w:rPr>
                <w:rFonts w:cs="Arial"/>
              </w:rPr>
            </w:pPr>
          </w:p>
          <w:p w:rsidR="004E10B5" w:rsidRDefault="004E10B5" w:rsidP="00AC76D0">
            <w:pPr>
              <w:rPr>
                <w:rFonts w:cs="Arial"/>
              </w:rPr>
            </w:pPr>
            <w:r>
              <w:rPr>
                <w:rFonts w:cs="Arial"/>
              </w:rPr>
              <w:t xml:space="preserve">See additional information in Pupil Premium Information on the school website </w:t>
            </w:r>
            <w:hyperlink r:id="rId5" w:history="1">
              <w:r w:rsidRPr="009F6C4D">
                <w:rPr>
                  <w:rStyle w:val="Hyperlink"/>
                  <w:rFonts w:cs="Arial"/>
                </w:rPr>
                <w:t>www.daneroyd.com</w:t>
              </w:r>
            </w:hyperlink>
          </w:p>
          <w:p w:rsidR="004E10B5" w:rsidRPr="00326C32" w:rsidRDefault="004E10B5" w:rsidP="00AC76D0">
            <w:pPr>
              <w:rPr>
                <w:rFonts w:cs="Arial"/>
              </w:rPr>
            </w:pPr>
            <w:r>
              <w:rPr>
                <w:rFonts w:cs="Arial"/>
              </w:rPr>
              <w:t xml:space="preserve">Alternatively, contact the Headteacher; Clare Kelly or the Pupil Premium Lead &amp; Deputy Headteacher; Jayne Elliott at school on 01924 242917 </w:t>
            </w:r>
          </w:p>
        </w:tc>
      </w:tr>
    </w:tbl>
    <w:p w:rsidR="004E10B5" w:rsidRDefault="004E10B5" w:rsidP="004E10B5">
      <w:pPr>
        <w:tabs>
          <w:tab w:val="left" w:pos="14844"/>
        </w:tabs>
        <w:ind w:right="-40"/>
        <w:rPr>
          <w:rFonts w:eastAsia="Arial" w:cs="Arial"/>
          <w:color w:val="050505"/>
          <w:spacing w:val="1"/>
        </w:rPr>
      </w:pPr>
    </w:p>
    <w:p w:rsidR="004E10B5" w:rsidRDefault="004E10B5" w:rsidP="004E10B5">
      <w:pPr>
        <w:pStyle w:val="NormalWeb"/>
        <w:rPr>
          <w:rFonts w:ascii="Calibri" w:eastAsiaTheme="minorHAnsi" w:hAnsi="Calibri" w:cs="Calibri"/>
          <w:color w:val="000000"/>
        </w:rPr>
      </w:pPr>
    </w:p>
    <w:p w:rsidR="00D1639B" w:rsidRDefault="00D1639B" w:rsidP="004E10B5">
      <w:pPr>
        <w:ind w:left="-284"/>
      </w:pPr>
    </w:p>
    <w:sectPr w:rsidR="00D1639B" w:rsidSect="004E10B5">
      <w:pgSz w:w="16838" w:h="11906" w:orient="landscape"/>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E9"/>
    <w:multiLevelType w:val="hybridMultilevel"/>
    <w:tmpl w:val="F1A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317E"/>
    <w:multiLevelType w:val="hybridMultilevel"/>
    <w:tmpl w:val="CD80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016F8"/>
    <w:multiLevelType w:val="hybridMultilevel"/>
    <w:tmpl w:val="DF4A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029E"/>
    <w:multiLevelType w:val="hybridMultilevel"/>
    <w:tmpl w:val="DCB8320E"/>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A14CB3"/>
    <w:multiLevelType w:val="hybridMultilevel"/>
    <w:tmpl w:val="65FA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A3572"/>
    <w:multiLevelType w:val="hybridMultilevel"/>
    <w:tmpl w:val="939AF620"/>
    <w:lvl w:ilvl="0" w:tplc="D9EA7B20">
      <w:start w:val="2"/>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27449"/>
    <w:multiLevelType w:val="hybridMultilevel"/>
    <w:tmpl w:val="CFF2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38DE"/>
    <w:multiLevelType w:val="hybridMultilevel"/>
    <w:tmpl w:val="EEAE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E63C6"/>
    <w:multiLevelType w:val="hybridMultilevel"/>
    <w:tmpl w:val="57C0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20AEB"/>
    <w:multiLevelType w:val="hybridMultilevel"/>
    <w:tmpl w:val="1B58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E3499"/>
    <w:multiLevelType w:val="hybridMultilevel"/>
    <w:tmpl w:val="F986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5257D"/>
    <w:multiLevelType w:val="hybridMultilevel"/>
    <w:tmpl w:val="F082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13"/>
  </w:num>
  <w:num w:numId="3">
    <w:abstractNumId w:val="3"/>
  </w:num>
  <w:num w:numId="4">
    <w:abstractNumId w:val="9"/>
  </w:num>
  <w:num w:numId="5">
    <w:abstractNumId w:val="10"/>
  </w:num>
  <w:num w:numId="6">
    <w:abstractNumId w:val="2"/>
  </w:num>
  <w:num w:numId="7">
    <w:abstractNumId w:val="8"/>
  </w:num>
  <w:num w:numId="8">
    <w:abstractNumId w:val="12"/>
  </w:num>
  <w:num w:numId="9">
    <w:abstractNumId w:val="5"/>
  </w:num>
  <w:num w:numId="10">
    <w:abstractNumId w:val="1"/>
  </w:num>
  <w:num w:numId="11">
    <w:abstractNumId w:val="11"/>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B5"/>
    <w:rsid w:val="004E10B5"/>
    <w:rsid w:val="00D1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C5CC"/>
  <w15:chartTrackingRefBased/>
  <w15:docId w15:val="{4FB21F6A-69E6-43B1-810D-D8C1471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E10B5"/>
    <w:pPr>
      <w:spacing w:after="240" w:line="288" w:lineRule="auto"/>
    </w:pPr>
    <w:rPr>
      <w:rFonts w:ascii="Arial" w:eastAsia="Times New Roman" w:hAnsi="Arial" w:cs="Times New Roman"/>
      <w:color w:val="0D0D0D" w:themeColor="text1" w:themeTint="F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E10B5"/>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4E10B5"/>
    <w:pPr>
      <w:numPr>
        <w:numId w:val="1"/>
      </w:numPr>
      <w:contextualSpacing/>
    </w:pPr>
  </w:style>
  <w:style w:type="table" w:styleId="TableGrid">
    <w:name w:val="Table Grid"/>
    <w:basedOn w:val="TableNormal"/>
    <w:uiPriority w:val="59"/>
    <w:rsid w:val="004E10B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4E10B5"/>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unhideWhenUsed/>
    <w:rsid w:val="004E10B5"/>
    <w:pPr>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4E1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eroy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Kelly</dc:creator>
  <cp:keywords/>
  <dc:description/>
  <cp:lastModifiedBy>Clare Kelly</cp:lastModifiedBy>
  <cp:revision>1</cp:revision>
  <dcterms:created xsi:type="dcterms:W3CDTF">2017-11-13T13:48:00Z</dcterms:created>
  <dcterms:modified xsi:type="dcterms:W3CDTF">2017-11-13T13:51:00Z</dcterms:modified>
</cp:coreProperties>
</file>